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EE" w:rsidRDefault="00EE1BEE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9BF" w:rsidRDefault="002119BF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08" w:rsidRPr="00F056EB" w:rsidRDefault="00774608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Заключение № 1</w:t>
      </w:r>
      <w:r w:rsidR="00F056EB" w:rsidRPr="00F056EB">
        <w:rPr>
          <w:rFonts w:ascii="Times New Roman" w:hAnsi="Times New Roman" w:cs="Times New Roman"/>
          <w:sz w:val="28"/>
          <w:szCs w:val="28"/>
        </w:rPr>
        <w:t>/2</w:t>
      </w:r>
    </w:p>
    <w:p w:rsidR="00774608" w:rsidRPr="00F056EB" w:rsidRDefault="00774608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774608" w:rsidRPr="00F056EB" w:rsidRDefault="00774608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проекта нормативного правового акта «Об утверждении административного</w:t>
      </w:r>
    </w:p>
    <w:p w:rsidR="00774608" w:rsidRPr="00F056EB" w:rsidRDefault="00774608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774608" w:rsidRPr="00F056EB" w:rsidRDefault="00774608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</w:t>
      </w:r>
    </w:p>
    <w:p w:rsidR="00774608" w:rsidRPr="00F056EB" w:rsidRDefault="00774608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объекта.</w:t>
      </w:r>
    </w:p>
    <w:p w:rsidR="00774608" w:rsidRPr="00F056EB" w:rsidRDefault="00774608" w:rsidP="00F05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774608" w:rsidRPr="00F056EB" w:rsidRDefault="00774608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08" w:rsidRPr="00F056EB" w:rsidRDefault="00774608" w:rsidP="00F05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«16» января 2023 г.</w:t>
      </w:r>
    </w:p>
    <w:p w:rsidR="00774608" w:rsidRPr="00F056EB" w:rsidRDefault="00774608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6EB" w:rsidRDefault="00774608" w:rsidP="00F0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образования</w:t>
      </w:r>
      <w:r w:rsidR="00F056EB">
        <w:rPr>
          <w:rFonts w:ascii="Times New Roman" w:hAnsi="Times New Roman" w:cs="Times New Roman"/>
          <w:sz w:val="28"/>
          <w:szCs w:val="28"/>
        </w:rPr>
        <w:t xml:space="preserve"> Ей</w:t>
      </w:r>
      <w:r w:rsidRPr="00F056EB">
        <w:rPr>
          <w:rFonts w:ascii="Times New Roman" w:hAnsi="Times New Roman" w:cs="Times New Roman"/>
          <w:sz w:val="28"/>
          <w:szCs w:val="28"/>
        </w:rPr>
        <w:t>ский район как уполномоченный орган по проведению антикоррупционной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экспертизы нормативных правовых актов (проектов) администрации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муниципаль</w:t>
      </w:r>
      <w:r w:rsidR="00F056EB">
        <w:rPr>
          <w:rFonts w:ascii="Times New Roman" w:hAnsi="Times New Roman" w:cs="Times New Roman"/>
          <w:sz w:val="28"/>
          <w:szCs w:val="28"/>
        </w:rPr>
        <w:t xml:space="preserve">ного образования Ейский район, </w:t>
      </w:r>
      <w:r w:rsidRPr="00F056EB">
        <w:rPr>
          <w:rFonts w:ascii="Times New Roman" w:hAnsi="Times New Roman" w:cs="Times New Roman"/>
          <w:sz w:val="28"/>
          <w:szCs w:val="28"/>
        </w:rPr>
        <w:t>рассмотрев проект нормативного</w:t>
      </w:r>
      <w:r w:rsidR="00F056EB">
        <w:rPr>
          <w:rFonts w:ascii="Times New Roman" w:hAnsi="Times New Roman" w:cs="Times New Roman"/>
          <w:sz w:val="28"/>
          <w:szCs w:val="28"/>
        </w:rPr>
        <w:t xml:space="preserve"> правового акта «Об утверждении </w:t>
      </w:r>
      <w:r w:rsidRPr="00F056E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разрешения на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строительства», поступивший от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муниципального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образования Ейский район, установило следующее.</w:t>
      </w:r>
    </w:p>
    <w:p w:rsidR="00F056EB" w:rsidRDefault="00774608" w:rsidP="00EE1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</w:t>
      </w:r>
      <w:r w:rsid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Ейский район </w:t>
      </w:r>
      <w:r w:rsidR="00F056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056EB" w:rsidRPr="00F056EB">
        <w:rPr>
          <w:rFonts w:ascii="Times New Roman" w:hAnsi="Times New Roman" w:cs="Times New Roman"/>
          <w:sz w:val="28"/>
          <w:szCs w:val="28"/>
        </w:rPr>
        <w:t>.</w:t>
      </w:r>
      <w:r w:rsidR="00F056EB">
        <w:rPr>
          <w:rFonts w:ascii="Times New Roman" w:hAnsi="Times New Roman" w:cs="Times New Roman"/>
          <w:sz w:val="28"/>
          <w:szCs w:val="28"/>
          <w:lang w:val="en-US"/>
        </w:rPr>
        <w:t>yeiskraion</w:t>
      </w:r>
      <w:r w:rsidR="00F056EB" w:rsidRPr="00F056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56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56EB">
        <w:rPr>
          <w:rFonts w:ascii="Times New Roman" w:hAnsi="Times New Roman" w:cs="Times New Roman"/>
          <w:sz w:val="28"/>
          <w:szCs w:val="28"/>
        </w:rPr>
        <w:t xml:space="preserve"> в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подразделе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«Проекты регламентов» раздела «Административная реформа» для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экспертизы.</w:t>
      </w:r>
    </w:p>
    <w:p w:rsidR="00F056EB" w:rsidRDefault="00774608" w:rsidP="00EE1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 xml:space="preserve">В </w:t>
      </w:r>
      <w:r w:rsidR="00F056EB">
        <w:rPr>
          <w:rFonts w:ascii="Times New Roman" w:hAnsi="Times New Roman" w:cs="Times New Roman"/>
          <w:sz w:val="28"/>
          <w:szCs w:val="28"/>
        </w:rPr>
        <w:t xml:space="preserve">срок, установленный разделом 5 </w:t>
      </w:r>
      <w:r w:rsidRPr="00F056EB">
        <w:rPr>
          <w:rFonts w:ascii="Times New Roman" w:hAnsi="Times New Roman" w:cs="Times New Roman"/>
          <w:sz w:val="28"/>
          <w:szCs w:val="28"/>
        </w:rPr>
        <w:t>Порядка проведения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Ейский район и проектов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образования Ейский район, от независимых экспертов заключения не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поступали.</w:t>
      </w:r>
    </w:p>
    <w:p w:rsidR="00F056EB" w:rsidRDefault="00774608" w:rsidP="00F0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правового,</w:t>
      </w:r>
      <w:r w:rsidR="00F056EB" w:rsidRPr="00F056EB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акта обнаружены следующие коррупциогенные факторы: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26"/>
        <w:gridCol w:w="6379"/>
        <w:gridCol w:w="3118"/>
      </w:tblGrid>
      <w:tr w:rsidR="00F056EB" w:rsidRPr="00F056EB" w:rsidTr="00BD1D21">
        <w:tc>
          <w:tcPr>
            <w:tcW w:w="426" w:type="dxa"/>
            <w:vMerge w:val="restart"/>
          </w:tcPr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</w:tcPr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Раздел, глава, пункт, абзац проекта нормативного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3118" w:type="dxa"/>
          </w:tcPr>
          <w:p w:rsidR="00F056EB" w:rsidRPr="00BD1D21" w:rsidRDefault="00F056EB" w:rsidP="00F0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6EB" w:rsidRPr="00BD1D21" w:rsidRDefault="00F056EB" w:rsidP="00F0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 xml:space="preserve">п. 2.6., </w:t>
            </w:r>
            <w:proofErr w:type="spellStart"/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. 2.6.1.</w:t>
            </w:r>
          </w:p>
        </w:tc>
      </w:tr>
      <w:tr w:rsidR="00F056EB" w:rsidRPr="00F056EB" w:rsidTr="00BD1D21">
        <w:tc>
          <w:tcPr>
            <w:tcW w:w="426" w:type="dxa"/>
            <w:vMerge/>
          </w:tcPr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Текст проекта нормативного правового акта</w:t>
            </w:r>
          </w:p>
        </w:tc>
        <w:tc>
          <w:tcPr>
            <w:tcW w:w="3118" w:type="dxa"/>
          </w:tcPr>
          <w:p w:rsid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«2.6.1. Для получения</w:t>
            </w:r>
          </w:p>
          <w:p w:rsid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представляет:</w:t>
            </w:r>
          </w:p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... 2) копию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удостоверяющего 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(заявителей), </w:t>
            </w:r>
            <w:r w:rsidR="00EE1BEE">
              <w:rPr>
                <w:rFonts w:ascii="Times New Roman" w:hAnsi="Times New Roman" w:cs="Times New Roman"/>
                <w:sz w:val="24"/>
                <w:szCs w:val="24"/>
              </w:rPr>
              <w:t>являющегося физическим лицом, либо личность представителя физического или юридического лица;</w:t>
            </w:r>
            <w:r w:rsidRPr="00F05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D21" w:rsidRPr="00F056EB" w:rsidTr="00BD1D21">
        <w:tc>
          <w:tcPr>
            <w:tcW w:w="426" w:type="dxa"/>
            <w:vMerge/>
          </w:tcPr>
          <w:p w:rsidR="00BD1D21" w:rsidRPr="00F056EB" w:rsidRDefault="00BD1D21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Коррупциогенный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(в соответствии с методикой </w:t>
            </w: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проведения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пционной экспертизы нормативных </w:t>
            </w: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правовых актов и проектов нормативных правовых актов,</w:t>
            </w:r>
          </w:p>
          <w:p w:rsidR="00BD1D21" w:rsidRPr="00F056EB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Российской </w:t>
            </w: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Федерации от 26 февраля 2010 года № 96)</w:t>
            </w:r>
          </w:p>
        </w:tc>
        <w:tc>
          <w:tcPr>
            <w:tcW w:w="3118" w:type="dxa"/>
          </w:tcPr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выявлен коррупциогенный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фактор, содержащий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неопределенные,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трудновыполнимые и (или)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обременительные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требования к гражданам и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организациям,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предусмотренный пунктом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«а» статьи 4 Методики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и проектов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актов, утвержденной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Правительства РФ от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26.02.2010 года № 96, -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наличие завышенных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требований к лицу,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предъявляемых для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принадлежащего ему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права, - установление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неопределенных,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трудновыполнимых и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обременительных</w:t>
            </w:r>
          </w:p>
          <w:p w:rsidR="00BD1D21" w:rsidRPr="00BD1D21" w:rsidRDefault="00BD1D21" w:rsidP="00BD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требований к гражданам и</w:t>
            </w:r>
          </w:p>
          <w:p w:rsidR="00BD1D21" w:rsidRPr="00F056EB" w:rsidRDefault="00BD1D21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1">
              <w:rPr>
                <w:rFonts w:ascii="Times New Roman" w:hAnsi="Times New Roman" w:cs="Times New Roman"/>
                <w:sz w:val="24"/>
                <w:szCs w:val="24"/>
              </w:rPr>
              <w:t>организациям.</w:t>
            </w:r>
          </w:p>
        </w:tc>
      </w:tr>
      <w:tr w:rsidR="00F056EB" w:rsidRPr="00F056EB" w:rsidTr="00BD1D21">
        <w:tc>
          <w:tcPr>
            <w:tcW w:w="426" w:type="dxa"/>
            <w:vMerge/>
          </w:tcPr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56EB" w:rsidRPr="00F056EB" w:rsidRDefault="002119BF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3118" w:type="dxa"/>
          </w:tcPr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2.6.1. Проекта НПА для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муниципальной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услуги заявитель, помимо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прочих документов,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предоставляет копию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заявителя (заявителей),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являющегося физическим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лицом, либо личность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представителя физического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лица,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тогда как согласно пункту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1 части 1 статьи 7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27.07.2010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210-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«Об организации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муниципальных услуг»,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предусматривающей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взаимодействию с</w:t>
            </w:r>
          </w:p>
          <w:p w:rsidR="002119BF" w:rsidRPr="002119BF" w:rsidRDefault="002119BF" w:rsidP="002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F">
              <w:rPr>
                <w:rFonts w:ascii="Times New Roman" w:hAnsi="Times New Roman" w:cs="Times New Roman"/>
                <w:sz w:val="24"/>
                <w:szCs w:val="24"/>
              </w:rPr>
              <w:t>заявителем при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органы, предоставляющие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услуги, 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органы, предоставляющие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услуги, не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вправе требовать от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заявителя представления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документов и информации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или осуществления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действий, представление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или осуществление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которых не предусмотрено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отношения, возникающие в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связи с предоставлением</w:t>
            </w:r>
          </w:p>
          <w:p w:rsidR="00FA371C" w:rsidRPr="00FA371C" w:rsidRDefault="008305C5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71C" w:rsidRPr="00FA371C">
              <w:rPr>
                <w:rFonts w:ascii="Times New Roman" w:hAnsi="Times New Roman" w:cs="Times New Roman"/>
                <w:sz w:val="24"/>
                <w:szCs w:val="24"/>
              </w:rPr>
              <w:t>осударственных 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Обязанность для заявителя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представлять копии</w:t>
            </w:r>
          </w:p>
          <w:p w:rsidR="00FA371C" w:rsidRPr="00FA371C" w:rsidRDefault="00FA371C" w:rsidP="00FA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документов не</w:t>
            </w:r>
          </w:p>
          <w:p w:rsidR="00F056EB" w:rsidRPr="00F056EB" w:rsidRDefault="00FA371C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C">
              <w:rPr>
                <w:rFonts w:ascii="Times New Roman" w:hAnsi="Times New Roman" w:cs="Times New Roman"/>
                <w:sz w:val="24"/>
                <w:szCs w:val="24"/>
              </w:rPr>
              <w:t>предусмотрена.</w:t>
            </w:r>
          </w:p>
        </w:tc>
      </w:tr>
      <w:tr w:rsidR="00F056EB" w:rsidRPr="00F056EB" w:rsidTr="00BD1D21">
        <w:tc>
          <w:tcPr>
            <w:tcW w:w="426" w:type="dxa"/>
            <w:vMerge/>
          </w:tcPr>
          <w:p w:rsidR="00F056EB" w:rsidRPr="00F056EB" w:rsidRDefault="00F056EB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56EB" w:rsidRPr="00F056EB" w:rsidRDefault="008305C5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коррупциогенного фактора и(или) по включению превентивных антикоррупционных</w:t>
            </w:r>
            <w:r w:rsidRPr="00830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3118" w:type="dxa"/>
          </w:tcPr>
          <w:p w:rsidR="00F056EB" w:rsidRDefault="008305C5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Внести 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сформулировав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содержание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C5">
              <w:rPr>
                <w:rFonts w:ascii="Times New Roman" w:hAnsi="Times New Roman" w:cs="Times New Roman"/>
                <w:sz w:val="24"/>
                <w:szCs w:val="24"/>
              </w:rPr>
              <w:t>изложенных замечаний.</w:t>
            </w:r>
          </w:p>
          <w:p w:rsidR="008305C5" w:rsidRDefault="008305C5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C5" w:rsidRPr="00F056EB" w:rsidRDefault="008305C5" w:rsidP="00F0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608" w:rsidRPr="00F056EB" w:rsidRDefault="00774608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08" w:rsidRPr="00F056EB" w:rsidRDefault="00774608" w:rsidP="0083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Проект нормативного правового акта «Об утверждении</w:t>
      </w:r>
      <w:r w:rsidR="008305C5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8305C5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</w:t>
      </w:r>
      <w:r w:rsidR="008305C5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</w:t>
      </w:r>
      <w:r w:rsidR="008305C5">
        <w:rPr>
          <w:rFonts w:ascii="Times New Roman" w:hAnsi="Times New Roman" w:cs="Times New Roman"/>
          <w:sz w:val="28"/>
          <w:szCs w:val="28"/>
        </w:rPr>
        <w:t xml:space="preserve"> </w:t>
      </w:r>
      <w:r w:rsidRPr="00F056EB">
        <w:rPr>
          <w:rFonts w:ascii="Times New Roman" w:hAnsi="Times New Roman" w:cs="Times New Roman"/>
          <w:sz w:val="28"/>
          <w:szCs w:val="28"/>
        </w:rPr>
        <w:t>строительства» не рекомендован к принятию.</w:t>
      </w:r>
    </w:p>
    <w:p w:rsidR="00774608" w:rsidRDefault="00774608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5C5" w:rsidRDefault="008305C5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5C5" w:rsidRPr="00F056EB" w:rsidRDefault="008305C5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08" w:rsidRPr="00F056EB" w:rsidRDefault="00774608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774608" w:rsidRPr="00F056EB" w:rsidRDefault="00774608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74608" w:rsidRPr="00F056EB" w:rsidRDefault="00774608" w:rsidP="00F0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EB">
        <w:rPr>
          <w:rFonts w:ascii="Times New Roman" w:hAnsi="Times New Roman" w:cs="Times New Roman"/>
          <w:sz w:val="28"/>
          <w:szCs w:val="28"/>
        </w:rPr>
        <w:t>образования Ейский район</w:t>
      </w:r>
      <w:r w:rsidR="00830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8305C5">
        <w:rPr>
          <w:rFonts w:ascii="Times New Roman" w:hAnsi="Times New Roman" w:cs="Times New Roman"/>
          <w:sz w:val="28"/>
          <w:szCs w:val="28"/>
        </w:rPr>
        <w:t xml:space="preserve"> С.Э. Юдина</w:t>
      </w:r>
    </w:p>
    <w:sectPr w:rsidR="00774608" w:rsidRPr="00F056EB" w:rsidSect="002119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5"/>
    <w:rsid w:val="002119BF"/>
    <w:rsid w:val="00380A05"/>
    <w:rsid w:val="00774608"/>
    <w:rsid w:val="008305C5"/>
    <w:rsid w:val="00A97D15"/>
    <w:rsid w:val="00BD1D21"/>
    <w:rsid w:val="00EE1BEE"/>
    <w:rsid w:val="00F056EB"/>
    <w:rsid w:val="00F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38E9"/>
  <w15:chartTrackingRefBased/>
  <w15:docId w15:val="{A15C109E-0E02-4E37-94E4-9D19FF1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u05_02</dc:creator>
  <cp:keywords/>
  <dc:description/>
  <cp:lastModifiedBy>u05_02</cp:lastModifiedBy>
  <cp:revision>6</cp:revision>
  <dcterms:created xsi:type="dcterms:W3CDTF">2023-05-12T12:26:00Z</dcterms:created>
  <dcterms:modified xsi:type="dcterms:W3CDTF">2023-05-17T09:25:00Z</dcterms:modified>
</cp:coreProperties>
</file>