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81851">
        <w:rPr>
          <w:sz w:val="28"/>
        </w:rPr>
        <w:t xml:space="preserve"> </w:t>
      </w:r>
      <w:r w:rsidR="007C4888">
        <w:rPr>
          <w:sz w:val="28"/>
        </w:rPr>
        <w:t>11</w:t>
      </w:r>
      <w:r w:rsidR="00CD18E0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7D7516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</w:t>
      </w:r>
    </w:p>
    <w:p w:rsidR="00F67FD9" w:rsidRDefault="00335495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proofErr w:type="spellStart"/>
      <w:r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081851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7D75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081851">
        <w:rPr>
          <w:rFonts w:ascii="Times New Roman" w:hAnsi="Times New Roman"/>
          <w:spacing w:val="2"/>
          <w:sz w:val="28"/>
          <w:szCs w:val="28"/>
        </w:rPr>
        <w:t>район</w:t>
      </w:r>
      <w:r w:rsidR="007D75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CD18E0" w:rsidRDefault="00CD18E0" w:rsidP="007C48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«Установление, изменение или отмена муниципальных пригородных маршрутов регулярных перевозок </w:t>
      </w:r>
    </w:p>
    <w:p w:rsidR="00E7685F" w:rsidRDefault="00CD18E0" w:rsidP="007C48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края»</w:t>
      </w:r>
    </w:p>
    <w:p w:rsidR="007C4888" w:rsidRDefault="007C4888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proofErr w:type="gramStart"/>
      <w:r w:rsidRPr="009B115B">
        <w:rPr>
          <w:sz w:val="28"/>
          <w:szCs w:val="28"/>
        </w:rPr>
        <w:t>«</w:t>
      </w:r>
      <w:r w:rsidR="007C4888">
        <w:rPr>
          <w:sz w:val="28"/>
          <w:szCs w:val="28"/>
        </w:rPr>
        <w:t xml:space="preserve"> 24</w:t>
      </w:r>
      <w:proofErr w:type="gramEnd"/>
      <w:r w:rsidR="007C4888">
        <w:rPr>
          <w:sz w:val="28"/>
          <w:szCs w:val="28"/>
        </w:rPr>
        <w:t xml:space="preserve"> </w:t>
      </w:r>
      <w:r w:rsidRPr="009B115B">
        <w:rPr>
          <w:sz w:val="28"/>
          <w:szCs w:val="28"/>
        </w:rPr>
        <w:t xml:space="preserve">» </w:t>
      </w:r>
      <w:r w:rsidR="007C4888">
        <w:rPr>
          <w:sz w:val="28"/>
          <w:szCs w:val="28"/>
        </w:rPr>
        <w:t>декабря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62E03" w:rsidRPr="000208E0" w:rsidRDefault="007257FD" w:rsidP="00762E03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район </w:t>
      </w:r>
      <w:r w:rsidR="001B5DB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Краснодарского края,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BA7C64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D7516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«Установление, изменение или отмена муниципальных пригородных маршрутов регулярных перевозок в муниципальном образовании </w:t>
      </w:r>
      <w:proofErr w:type="spellStart"/>
      <w:r w:rsidR="007D7516">
        <w:rPr>
          <w:rFonts w:ascii="Times New Roman" w:hAnsi="Times New Roman"/>
          <w:sz w:val="28"/>
          <w:szCs w:val="28"/>
        </w:rPr>
        <w:t>Ейский</w:t>
      </w:r>
      <w:proofErr w:type="spellEnd"/>
      <w:r w:rsidR="007D7516">
        <w:rPr>
          <w:rFonts w:ascii="Times New Roman" w:hAnsi="Times New Roman"/>
          <w:sz w:val="28"/>
          <w:szCs w:val="28"/>
        </w:rPr>
        <w:t xml:space="preserve"> муниципальный район Краснодарского края»</w:t>
      </w:r>
      <w:r w:rsidR="00762E03">
        <w:rPr>
          <w:sz w:val="28"/>
          <w:szCs w:val="28"/>
        </w:rPr>
        <w:t>,</w:t>
      </w:r>
      <w:r w:rsidR="007C4888">
        <w:rPr>
          <w:sz w:val="28"/>
          <w:szCs w:val="28"/>
        </w:rPr>
        <w:t xml:space="preserve"> 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поступивший из </w:t>
      </w:r>
      <w:r w:rsidR="00762E03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транспорта и связи</w:t>
      </w:r>
      <w:r w:rsidR="00762E0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Ейский</w:t>
      </w:r>
      <w:proofErr w:type="spellEnd"/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муниципальный 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район</w:t>
      </w:r>
      <w:r w:rsidR="007C4888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Краснодарского края</w:t>
      </w:r>
      <w:r w:rsidR="00762E0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762E03" w:rsidRDefault="00762E03" w:rsidP="00762E03">
      <w:pPr>
        <w:ind w:firstLine="709"/>
        <w:jc w:val="both"/>
        <w:rPr>
          <w:sz w:val="28"/>
        </w:rPr>
      </w:pPr>
      <w:r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>
          <w:rPr>
            <w:rStyle w:val="a4"/>
            <w:color w:val="000000" w:themeColor="text1"/>
            <w:sz w:val="28"/>
            <w:szCs w:val="28"/>
          </w:rPr>
          <w:t>www.yeiskraion.ru</w:t>
        </w:r>
      </w:hyperlink>
      <w:r>
        <w:rPr>
          <w:sz w:val="28"/>
        </w:rPr>
        <w:t xml:space="preserve"> в информационно-телекоммуникационной сети «Интернет» подразделе </w:t>
      </w:r>
      <w:r w:rsidRPr="00762E03">
        <w:rPr>
          <w:sz w:val="28"/>
        </w:rPr>
        <w:t>«</w:t>
      </w:r>
      <w:r w:rsidRPr="00762E03">
        <w:rPr>
          <w:rStyle w:val="a4"/>
          <w:color w:val="000000" w:themeColor="text1"/>
          <w:sz w:val="28"/>
          <w:szCs w:val="28"/>
          <w:u w:val="none"/>
        </w:rPr>
        <w:t>Проекты регламентов</w:t>
      </w:r>
      <w:r w:rsidRPr="00762E03">
        <w:rPr>
          <w:sz w:val="28"/>
        </w:rPr>
        <w:t>»</w:t>
      </w:r>
      <w:r>
        <w:rPr>
          <w:sz w:val="28"/>
        </w:rPr>
        <w:t xml:space="preserve"> раздела «Административная реформа» для проведения независимой антикоррупционной экспертизы.</w:t>
      </w:r>
    </w:p>
    <w:p w:rsidR="007257FD" w:rsidRPr="00762E03" w:rsidRDefault="007257FD" w:rsidP="00762E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E03">
        <w:rPr>
          <w:rFonts w:ascii="Times New Roman" w:hAnsi="Times New Roman" w:cs="Times New Roman"/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762E0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762E03">
        <w:rPr>
          <w:rFonts w:ascii="Times New Roman" w:hAnsi="Times New Roman" w:cs="Times New Roman"/>
          <w:sz w:val="28"/>
          <w:szCs w:val="28"/>
        </w:rPr>
        <w:t xml:space="preserve"> </w:t>
      </w:r>
      <w:r w:rsidR="00BA7C6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2E03">
        <w:rPr>
          <w:rFonts w:ascii="Times New Roman" w:hAnsi="Times New Roman" w:cs="Times New Roman"/>
          <w:sz w:val="28"/>
          <w:szCs w:val="28"/>
        </w:rPr>
        <w:t>район</w:t>
      </w:r>
      <w:r w:rsidR="00BA7C64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2E03">
        <w:rPr>
          <w:rFonts w:ascii="Times New Roman" w:hAnsi="Times New Roman" w:cs="Times New Roman"/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762E03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762E03">
        <w:rPr>
          <w:rFonts w:ascii="Times New Roman" w:hAnsi="Times New Roman" w:cs="Times New Roman"/>
          <w:sz w:val="28"/>
          <w:szCs w:val="28"/>
        </w:rPr>
        <w:t xml:space="preserve"> </w:t>
      </w:r>
      <w:r w:rsidR="0054320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62E03">
        <w:rPr>
          <w:rFonts w:ascii="Times New Roman" w:hAnsi="Times New Roman" w:cs="Times New Roman"/>
          <w:sz w:val="28"/>
          <w:szCs w:val="28"/>
        </w:rPr>
        <w:t>район</w:t>
      </w:r>
      <w:r w:rsidR="0054320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762E03">
        <w:rPr>
          <w:rFonts w:ascii="Times New Roman" w:hAnsi="Times New Roman" w:cs="Times New Roman"/>
          <w:sz w:val="28"/>
          <w:szCs w:val="28"/>
        </w:rPr>
        <w:t>, от независимых экспертов заключения не поступали.</w:t>
      </w:r>
    </w:p>
    <w:p w:rsidR="0003056C" w:rsidRDefault="0003056C" w:rsidP="0003056C">
      <w:pPr>
        <w:ind w:firstLine="709"/>
        <w:jc w:val="both"/>
        <w:rPr>
          <w:sz w:val="28"/>
          <w:szCs w:val="28"/>
        </w:rPr>
      </w:pPr>
      <w:r w:rsidRPr="00FE29F0">
        <w:rPr>
          <w:sz w:val="28"/>
          <w:szCs w:val="28"/>
        </w:rPr>
        <w:t xml:space="preserve">В ходе антикоррупционной экспертизы Проекта обнаружены следующие коррупциогенные факторы, в соответствии с Методикой проведения антикоррупционной экспертизы нормативных правовых актов и проектов </w:t>
      </w:r>
      <w:r w:rsidRPr="003A5E5A">
        <w:rPr>
          <w:sz w:val="28"/>
          <w:szCs w:val="28"/>
        </w:rPr>
        <w:t>нормативных правовых актов, утвержденной Постановлением Правительства Российской Федерации от 26 февраля 2010 года № 96 (далее – Методика)</w:t>
      </w:r>
      <w:r w:rsidR="00543201">
        <w:rPr>
          <w:sz w:val="28"/>
          <w:szCs w:val="28"/>
        </w:rPr>
        <w:t>:</w:t>
      </w:r>
    </w:p>
    <w:p w:rsidR="00FD6406" w:rsidRDefault="00FD6406" w:rsidP="00FD640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FD6406" w:rsidRPr="00516912" w:rsidTr="00DF4603">
        <w:tc>
          <w:tcPr>
            <w:tcW w:w="548" w:type="dxa"/>
            <w:vMerge w:val="restart"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CC678F" w:rsidP="0005763D">
            <w:pPr>
              <w:jc w:val="both"/>
              <w:rPr>
                <w:sz w:val="20"/>
                <w:szCs w:val="20"/>
              </w:rPr>
            </w:pPr>
            <w:r w:rsidRPr="00CC678F">
              <w:rPr>
                <w:sz w:val="20"/>
                <w:szCs w:val="20"/>
                <w:u w:val="single"/>
              </w:rPr>
              <w:t xml:space="preserve">п. </w:t>
            </w:r>
            <w:r w:rsidR="000A445F">
              <w:rPr>
                <w:sz w:val="20"/>
                <w:szCs w:val="20"/>
                <w:u w:val="single"/>
              </w:rPr>
              <w:t>2.4.1.</w:t>
            </w:r>
            <w:r w:rsidR="00FD6406" w:rsidRPr="00CC678F">
              <w:rPr>
                <w:sz w:val="20"/>
                <w:szCs w:val="20"/>
              </w:rPr>
              <w:t xml:space="preserve"> </w:t>
            </w:r>
            <w:r w:rsidR="00A66B8D" w:rsidRPr="00CC678F">
              <w:rPr>
                <w:sz w:val="20"/>
                <w:szCs w:val="20"/>
              </w:rPr>
              <w:t xml:space="preserve">проекта </w:t>
            </w:r>
            <w:r w:rsidR="00AE6FBA" w:rsidRPr="00CC678F">
              <w:rPr>
                <w:sz w:val="20"/>
                <w:szCs w:val="20"/>
              </w:rPr>
              <w:t>административного регламента</w:t>
            </w:r>
            <w:r w:rsidR="00A66B8D" w:rsidRPr="00CC678F">
              <w:rPr>
                <w:sz w:val="20"/>
                <w:szCs w:val="20"/>
              </w:rPr>
              <w:t xml:space="preserve"> </w:t>
            </w:r>
            <w:r w:rsidR="004B0331" w:rsidRPr="00CC678F">
              <w:rPr>
                <w:sz w:val="20"/>
                <w:szCs w:val="20"/>
              </w:rPr>
              <w:t>п</w:t>
            </w:r>
            <w:r w:rsidR="00A66B8D" w:rsidRPr="00CC678F">
              <w:rPr>
                <w:sz w:val="20"/>
                <w:szCs w:val="20"/>
              </w:rPr>
              <w:t>о</w:t>
            </w:r>
            <w:r w:rsidR="00762E03" w:rsidRPr="00CC678F">
              <w:rPr>
                <w:sz w:val="20"/>
                <w:szCs w:val="20"/>
              </w:rPr>
              <w:t xml:space="preserve"> предоставлению муниципальной услуги по</w:t>
            </w:r>
            <w:r w:rsidR="00A66B8D" w:rsidRPr="00CC678F">
              <w:rPr>
                <w:sz w:val="20"/>
                <w:szCs w:val="20"/>
              </w:rPr>
              <w:t xml:space="preserve"> </w:t>
            </w:r>
            <w:r w:rsidR="000A445F">
              <w:rPr>
                <w:sz w:val="20"/>
                <w:szCs w:val="20"/>
              </w:rPr>
              <w:t>у</w:t>
            </w:r>
            <w:r w:rsidR="000A445F" w:rsidRPr="000A445F">
              <w:rPr>
                <w:sz w:val="20"/>
                <w:szCs w:val="20"/>
              </w:rPr>
              <w:t>становлени</w:t>
            </w:r>
            <w:r w:rsidR="000A445F">
              <w:rPr>
                <w:sz w:val="20"/>
                <w:szCs w:val="20"/>
              </w:rPr>
              <w:t>ю</w:t>
            </w:r>
            <w:r w:rsidR="000A445F" w:rsidRPr="000A445F">
              <w:rPr>
                <w:sz w:val="20"/>
                <w:szCs w:val="20"/>
              </w:rPr>
              <w:t>, изменени</w:t>
            </w:r>
            <w:r w:rsidR="000A445F">
              <w:rPr>
                <w:sz w:val="20"/>
                <w:szCs w:val="20"/>
              </w:rPr>
              <w:t>ю</w:t>
            </w:r>
            <w:r w:rsidR="000A445F" w:rsidRPr="000A445F">
              <w:rPr>
                <w:sz w:val="20"/>
                <w:szCs w:val="20"/>
              </w:rPr>
              <w:t xml:space="preserve"> или отмен</w:t>
            </w:r>
            <w:r w:rsidR="000A445F">
              <w:rPr>
                <w:sz w:val="20"/>
                <w:szCs w:val="20"/>
              </w:rPr>
              <w:t>е</w:t>
            </w:r>
            <w:r w:rsidR="000A445F" w:rsidRPr="000A445F">
              <w:rPr>
                <w:sz w:val="20"/>
                <w:szCs w:val="20"/>
              </w:rPr>
              <w:t xml:space="preserve"> муниципальных пригородных маршрутов регулярных перевозок</w:t>
            </w:r>
            <w:r w:rsidR="00F96E76">
              <w:rPr>
                <w:sz w:val="20"/>
                <w:szCs w:val="20"/>
              </w:rPr>
              <w:t xml:space="preserve"> (далее </w:t>
            </w:r>
            <w:r w:rsidR="0040490F">
              <w:rPr>
                <w:sz w:val="20"/>
                <w:szCs w:val="20"/>
              </w:rPr>
              <w:t>–</w:t>
            </w:r>
            <w:r w:rsidR="00F96E76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 xml:space="preserve">проект </w:t>
            </w:r>
            <w:r w:rsidR="00F96E76">
              <w:rPr>
                <w:sz w:val="20"/>
                <w:szCs w:val="20"/>
              </w:rPr>
              <w:t>регламент</w:t>
            </w:r>
            <w:r w:rsidR="0040490F">
              <w:rPr>
                <w:sz w:val="20"/>
                <w:szCs w:val="20"/>
              </w:rPr>
              <w:t>а</w:t>
            </w:r>
            <w:r w:rsidR="00F96E76">
              <w:rPr>
                <w:sz w:val="20"/>
                <w:szCs w:val="20"/>
              </w:rPr>
              <w:t xml:space="preserve">), по отношению к требованиям п. </w:t>
            </w:r>
            <w:r w:rsidR="0005763D">
              <w:rPr>
                <w:sz w:val="20"/>
                <w:szCs w:val="20"/>
              </w:rPr>
              <w:t>3.1.1.1</w:t>
            </w:r>
            <w:r w:rsidR="00F96E76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 xml:space="preserve">проекта </w:t>
            </w:r>
            <w:r w:rsidR="00F96E76">
              <w:rPr>
                <w:sz w:val="20"/>
                <w:szCs w:val="20"/>
              </w:rPr>
              <w:t>регламента</w:t>
            </w:r>
          </w:p>
        </w:tc>
      </w:tr>
      <w:tr w:rsidR="00FD6406" w:rsidRPr="00516912" w:rsidTr="00DF4603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2357A0" w:rsidRDefault="0005763D" w:rsidP="0005763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Пунктом 2.4.1. проекта регламента определен общий срок предоставления муниципальной услуги – 40 календарных дней. Подпунктом 1, пункта 2.4.1 проекта регламента также определено, что «в течение 5 календарных дней со дня регистрации заявлен</w:t>
            </w:r>
            <w:r w:rsidR="004D66F6">
              <w:rPr>
                <w:color w:val="000000" w:themeColor="text1"/>
                <w:sz w:val="20"/>
                <w:szCs w:val="20"/>
              </w:rPr>
              <w:t>ия об установлении или изменении</w:t>
            </w:r>
            <w:r>
              <w:rPr>
                <w:color w:val="000000" w:themeColor="text1"/>
                <w:sz w:val="20"/>
                <w:szCs w:val="20"/>
              </w:rPr>
              <w:t xml:space="preserve"> маршрута регулярных перевозок и прилагаемых к нему документов принимает решение о приеме указанного</w:t>
            </w:r>
            <w:r w:rsidR="004D66F6">
              <w:rPr>
                <w:color w:val="000000" w:themeColor="text1"/>
                <w:sz w:val="20"/>
                <w:szCs w:val="20"/>
              </w:rPr>
              <w:t xml:space="preserve"> заявления и прилагаемых к нему документов, либо в случае их несоответствия, решение о возврате указанного заявления и прилагаемых к нему документов с мотивированным обоснованием причин возврата». </w:t>
            </w:r>
          </w:p>
          <w:p w:rsidR="001516B2" w:rsidRDefault="004D66F6" w:rsidP="0005763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Указанные требования прямо противоречат требованиям, указанным в п. 3.1.1.1 проекта регламента, а именно: «Максимальный срок выполнения административной процедуры по приёму </w:t>
            </w:r>
            <w:r w:rsidR="002357A0">
              <w:rPr>
                <w:color w:val="000000" w:themeColor="text1"/>
                <w:sz w:val="20"/>
                <w:szCs w:val="20"/>
              </w:rPr>
              <w:t>и регистрации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составляет 1 рабочий день.</w:t>
            </w:r>
            <w:r>
              <w:rPr>
                <w:color w:val="000000" w:themeColor="text1"/>
                <w:sz w:val="20"/>
                <w:szCs w:val="20"/>
              </w:rPr>
              <w:t>»</w:t>
            </w:r>
            <w:r w:rsidR="0005763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8051D" w:rsidRPr="00013F8A" w:rsidRDefault="00B8051D" w:rsidP="000576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FD6406" w:rsidRDefault="009E2022" w:rsidP="009E202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  <w:p w:rsidR="00B8051D" w:rsidRPr="00036754" w:rsidRDefault="00B8051D" w:rsidP="009E2022">
            <w:pPr>
              <w:jc w:val="both"/>
              <w:rPr>
                <w:sz w:val="20"/>
                <w:szCs w:val="20"/>
              </w:rPr>
            </w:pPr>
          </w:p>
        </w:tc>
      </w:tr>
      <w:tr w:rsidR="00FD6406" w:rsidRPr="00516912" w:rsidTr="00DF4603"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FD6406" w:rsidRDefault="009E2022" w:rsidP="008F340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  <w:r w:rsidR="008F3403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B8051D" w:rsidRPr="00E5759B" w:rsidRDefault="00B8051D" w:rsidP="008F340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FD6406" w:rsidRPr="00516912" w:rsidTr="00DF4603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FD6406" w:rsidRPr="000D1AEE" w:rsidRDefault="00FD6406" w:rsidP="00921039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FD6406" w:rsidRPr="000D1AEE" w:rsidRDefault="00FD6406" w:rsidP="00921039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FD6406" w:rsidRPr="00036754" w:rsidRDefault="00545580" w:rsidP="0040490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устранить </w:t>
            </w:r>
            <w:r w:rsidR="00A66B8D">
              <w:rPr>
                <w:sz w:val="20"/>
                <w:szCs w:val="20"/>
              </w:rPr>
              <w:t xml:space="preserve">противоречия, </w:t>
            </w:r>
            <w:r w:rsidR="00103CB1">
              <w:rPr>
                <w:sz w:val="20"/>
                <w:szCs w:val="20"/>
              </w:rPr>
              <w:t>изложив</w:t>
            </w:r>
            <w:r w:rsidR="00A66B8D">
              <w:rPr>
                <w:sz w:val="20"/>
                <w:szCs w:val="20"/>
              </w:rPr>
              <w:t xml:space="preserve"> </w:t>
            </w:r>
            <w:r w:rsidR="001B45D2">
              <w:rPr>
                <w:sz w:val="20"/>
                <w:szCs w:val="20"/>
              </w:rPr>
              <w:t>требования</w:t>
            </w:r>
            <w:r w:rsidR="00103CB1">
              <w:rPr>
                <w:sz w:val="20"/>
                <w:szCs w:val="20"/>
              </w:rPr>
              <w:t xml:space="preserve"> </w:t>
            </w:r>
            <w:r w:rsidR="00A66B8D">
              <w:rPr>
                <w:sz w:val="20"/>
                <w:szCs w:val="20"/>
              </w:rPr>
              <w:t xml:space="preserve"> </w:t>
            </w:r>
            <w:r w:rsidR="0040490F">
              <w:rPr>
                <w:sz w:val="20"/>
                <w:szCs w:val="20"/>
              </w:rPr>
              <w:t>проекта</w:t>
            </w:r>
            <w:r w:rsidR="00103CB1">
              <w:rPr>
                <w:sz w:val="20"/>
                <w:szCs w:val="20"/>
              </w:rPr>
              <w:t xml:space="preserve"> регламента в новой редакции, в соответствии с требованиями действующего законодательства</w:t>
            </w:r>
            <w:bookmarkStart w:id="0" w:name="_GoBack"/>
            <w:bookmarkEnd w:id="0"/>
          </w:p>
        </w:tc>
      </w:tr>
    </w:tbl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2754"/>
        <w:gridCol w:w="6054"/>
      </w:tblGrid>
      <w:tr w:rsidR="00C605B0" w:rsidRPr="00516912" w:rsidTr="00373608">
        <w:tc>
          <w:tcPr>
            <w:tcW w:w="548" w:type="dxa"/>
            <w:vMerge w:val="restart"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Раздел, глава, пункт, абзац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B8051D">
            <w:pPr>
              <w:jc w:val="both"/>
              <w:rPr>
                <w:sz w:val="20"/>
                <w:szCs w:val="20"/>
              </w:rPr>
            </w:pPr>
            <w:r w:rsidRPr="00CC678F">
              <w:rPr>
                <w:sz w:val="20"/>
                <w:szCs w:val="20"/>
                <w:u w:val="single"/>
              </w:rPr>
              <w:t xml:space="preserve">п. </w:t>
            </w:r>
            <w:r w:rsidR="00B8051D">
              <w:rPr>
                <w:sz w:val="20"/>
                <w:szCs w:val="20"/>
                <w:u w:val="single"/>
              </w:rPr>
              <w:t>2.6.2.</w:t>
            </w:r>
            <w:r w:rsidRPr="00CC678F">
              <w:rPr>
                <w:sz w:val="20"/>
                <w:szCs w:val="20"/>
              </w:rPr>
              <w:t xml:space="preserve"> </w:t>
            </w:r>
            <w:r w:rsidR="00B8051D">
              <w:rPr>
                <w:sz w:val="20"/>
                <w:szCs w:val="20"/>
              </w:rPr>
              <w:t xml:space="preserve">, </w:t>
            </w:r>
            <w:r w:rsidR="00B8051D" w:rsidRPr="00B8051D">
              <w:rPr>
                <w:sz w:val="20"/>
                <w:szCs w:val="20"/>
                <w:u w:val="single"/>
              </w:rPr>
              <w:t>п. 2.7.2</w:t>
            </w:r>
            <w:r w:rsidR="00B8051D">
              <w:rPr>
                <w:sz w:val="20"/>
                <w:szCs w:val="20"/>
              </w:rPr>
              <w:t xml:space="preserve">. </w:t>
            </w:r>
            <w:r w:rsidRPr="00CC678F">
              <w:rPr>
                <w:sz w:val="20"/>
                <w:szCs w:val="20"/>
              </w:rPr>
              <w:t xml:space="preserve">проекта регламента </w:t>
            </w:r>
          </w:p>
        </w:tc>
      </w:tr>
      <w:tr w:rsidR="00C605B0" w:rsidRPr="00516912" w:rsidTr="00373608">
        <w:trPr>
          <w:trHeight w:val="543"/>
        </w:trPr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Текст нормативного правового акта</w:t>
            </w:r>
          </w:p>
        </w:tc>
        <w:tc>
          <w:tcPr>
            <w:tcW w:w="6054" w:type="dxa"/>
            <w:shd w:val="clear" w:color="auto" w:fill="auto"/>
          </w:tcPr>
          <w:p w:rsidR="00C605B0" w:rsidRDefault="00BF401D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Последним абзацем пункта 2.6.2 проекта регламента определено, что </w:t>
            </w:r>
            <w:r w:rsidR="00C605B0" w:rsidRPr="00914899">
              <w:rPr>
                <w:color w:val="000000" w:themeColor="text1"/>
                <w:sz w:val="20"/>
                <w:szCs w:val="20"/>
              </w:rPr>
              <w:t>«</w:t>
            </w:r>
            <w:r>
              <w:rPr>
                <w:color w:val="000000" w:themeColor="text1"/>
                <w:sz w:val="20"/>
                <w:szCs w:val="20"/>
              </w:rPr>
              <w:t xml:space="preserve"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</w:t>
            </w:r>
            <w:r w:rsidR="001975F6">
              <w:rPr>
                <w:color w:val="000000" w:themeColor="text1"/>
                <w:sz w:val="20"/>
                <w:szCs w:val="20"/>
              </w:rPr>
              <w:t>по собственной инициативе, так как они подлежат представлению в рамках межведомственного информационного взаимодействия, не предусмотрены».</w:t>
            </w:r>
          </w:p>
          <w:p w:rsidR="00C605B0" w:rsidRDefault="00CD62C4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Данное требование проекта регламента противоречит пункту 2.7.2 проекта регламента: «2.7.2. Для предоставления муниципальной услуги не приведены административные процедуры: межведомственное информационное взаимодействие...».</w:t>
            </w:r>
          </w:p>
          <w:p w:rsidR="00C605B0" w:rsidRPr="00013F8A" w:rsidRDefault="00C605B0" w:rsidP="0091489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605B0" w:rsidRPr="00516912" w:rsidTr="00373608"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proofErr w:type="spellStart"/>
            <w:r w:rsidRPr="000D1AEE">
              <w:rPr>
                <w:sz w:val="20"/>
                <w:szCs w:val="20"/>
              </w:rPr>
              <w:t>Коррупциогенный</w:t>
            </w:r>
            <w:proofErr w:type="spellEnd"/>
            <w:r w:rsidRPr="000D1AEE">
              <w:rPr>
                <w:sz w:val="20"/>
                <w:szCs w:val="20"/>
              </w:rPr>
              <w:t xml:space="preserve"> фактор</w:t>
            </w:r>
          </w:p>
        </w:tc>
        <w:tc>
          <w:tcPr>
            <w:tcW w:w="6054" w:type="dxa"/>
            <w:shd w:val="clear" w:color="auto" w:fill="auto"/>
          </w:tcPr>
          <w:p w:rsidR="00C605B0" w:rsidRDefault="00C605B0" w:rsidP="0037360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E2022">
              <w:rPr>
                <w:color w:val="000000" w:themeColor="text1"/>
                <w:sz w:val="20"/>
                <w:szCs w:val="20"/>
              </w:rPr>
              <w:t xml:space="preserve">нормативные коллизии </w:t>
            </w:r>
            <w:r>
              <w:rPr>
                <w:color w:val="000000" w:themeColor="text1"/>
                <w:sz w:val="20"/>
                <w:szCs w:val="20"/>
              </w:rPr>
              <w:t>–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022">
              <w:rPr>
                <w:color w:val="000000" w:themeColor="text1"/>
                <w:sz w:val="20"/>
                <w:szCs w:val="20"/>
              </w:rPr>
              <w:t xml:space="preserve">согласно подпункта «и», пункта 3 </w:t>
            </w:r>
            <w:r>
              <w:rPr>
                <w:color w:val="000000" w:themeColor="text1"/>
                <w:sz w:val="20"/>
                <w:szCs w:val="20"/>
              </w:rPr>
              <w:t>М</w:t>
            </w:r>
            <w:r w:rsidRPr="009E2022">
              <w:rPr>
                <w:color w:val="000000" w:themeColor="text1"/>
                <w:sz w:val="20"/>
                <w:szCs w:val="20"/>
              </w:rPr>
              <w:t>етодики</w:t>
            </w:r>
          </w:p>
          <w:p w:rsidR="00B8051D" w:rsidRPr="00036754" w:rsidRDefault="00B8051D" w:rsidP="00373608">
            <w:pPr>
              <w:jc w:val="both"/>
              <w:rPr>
                <w:sz w:val="20"/>
                <w:szCs w:val="20"/>
              </w:rPr>
            </w:pPr>
          </w:p>
        </w:tc>
      </w:tr>
      <w:tr w:rsidR="00C605B0" w:rsidRPr="00516912" w:rsidTr="00373608"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>Обоснование</w:t>
            </w:r>
          </w:p>
        </w:tc>
        <w:tc>
          <w:tcPr>
            <w:tcW w:w="6054" w:type="dxa"/>
            <w:shd w:val="clear" w:color="auto" w:fill="auto"/>
          </w:tcPr>
          <w:p w:rsidR="00C605B0" w:rsidRPr="009E2022" w:rsidRDefault="00C605B0" w:rsidP="0037360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E2022">
              <w:rPr>
                <w:b/>
                <w:color w:val="000000" w:themeColor="text1"/>
                <w:sz w:val="20"/>
                <w:szCs w:val="20"/>
              </w:rPr>
              <w:t>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  <w:r w:rsidR="00914899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C605B0" w:rsidRPr="00E5759B" w:rsidRDefault="00C605B0" w:rsidP="0063452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605B0" w:rsidRPr="00516912" w:rsidTr="00373608">
        <w:trPr>
          <w:trHeight w:val="1102"/>
        </w:trPr>
        <w:tc>
          <w:tcPr>
            <w:tcW w:w="548" w:type="dxa"/>
            <w:vMerge/>
            <w:shd w:val="clear" w:color="auto" w:fill="auto"/>
          </w:tcPr>
          <w:p w:rsidR="00C605B0" w:rsidRPr="000D1AEE" w:rsidRDefault="00C605B0" w:rsidP="00373608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auto"/>
          </w:tcPr>
          <w:p w:rsidR="00C605B0" w:rsidRPr="000D1AEE" w:rsidRDefault="00C605B0" w:rsidP="00373608">
            <w:pPr>
              <w:jc w:val="both"/>
              <w:rPr>
                <w:sz w:val="20"/>
                <w:szCs w:val="20"/>
              </w:rPr>
            </w:pPr>
            <w:r w:rsidRPr="000D1AEE">
              <w:rPr>
                <w:sz w:val="20"/>
                <w:szCs w:val="20"/>
              </w:rPr>
              <w:t xml:space="preserve">Рекомендации по устранению </w:t>
            </w:r>
            <w:proofErr w:type="spellStart"/>
            <w:r w:rsidRPr="000D1AEE">
              <w:rPr>
                <w:sz w:val="20"/>
                <w:szCs w:val="20"/>
              </w:rPr>
              <w:t>коррупциогенного</w:t>
            </w:r>
            <w:proofErr w:type="spellEnd"/>
            <w:r w:rsidRPr="000D1AEE">
              <w:rPr>
                <w:sz w:val="20"/>
                <w:szCs w:val="20"/>
              </w:rPr>
              <w:t xml:space="preserve"> фактора и (или) по включению превентивных антикоррупционных норм</w:t>
            </w:r>
          </w:p>
        </w:tc>
        <w:tc>
          <w:tcPr>
            <w:tcW w:w="6054" w:type="dxa"/>
            <w:shd w:val="clear" w:color="auto" w:fill="auto"/>
          </w:tcPr>
          <w:p w:rsidR="00C605B0" w:rsidRPr="00036754" w:rsidRDefault="00C605B0" w:rsidP="0037360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устранить противоречия, изложив требования  административного регламента в новой редакции, в соответствии с требованиями действующего законодательства</w:t>
            </w:r>
          </w:p>
        </w:tc>
      </w:tr>
    </w:tbl>
    <w:p w:rsidR="00C605B0" w:rsidRDefault="00C605B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2022" w:rsidRPr="00051217" w:rsidRDefault="009E2022" w:rsidP="009E2022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Таким образом, на основании вышеизложенного, П</w:t>
      </w:r>
      <w:r w:rsidRPr="002B4D16">
        <w:rPr>
          <w:b w:val="0"/>
          <w:sz w:val="28"/>
          <w:szCs w:val="28"/>
        </w:rPr>
        <w:t>роект</w:t>
      </w:r>
      <w:r w:rsidR="00B8051D">
        <w:rPr>
          <w:b w:val="0"/>
          <w:sz w:val="28"/>
          <w:szCs w:val="28"/>
          <w:lang w:val="ru-RU"/>
        </w:rPr>
        <w:t xml:space="preserve"> постановления </w:t>
      </w:r>
      <w:r w:rsidRPr="002B4D16">
        <w:rPr>
          <w:b w:val="0"/>
          <w:sz w:val="28"/>
          <w:szCs w:val="28"/>
        </w:rPr>
        <w:t xml:space="preserve"> </w:t>
      </w:r>
      <w:r w:rsidRPr="00051217">
        <w:rPr>
          <w:b w:val="0"/>
          <w:sz w:val="28"/>
          <w:szCs w:val="28"/>
        </w:rPr>
        <w:t>не рекомендован к принятию.</w:t>
      </w:r>
    </w:p>
    <w:p w:rsidR="009E2022" w:rsidRPr="009E2022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x-none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516" w:rsidRPr="00843D8F" w:rsidRDefault="007D7516" w:rsidP="007D75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43D8F">
        <w:rPr>
          <w:sz w:val="28"/>
          <w:szCs w:val="28"/>
        </w:rPr>
        <w:t>ачальник правового управления</w:t>
      </w:r>
    </w:p>
    <w:p w:rsidR="007D7516" w:rsidRDefault="007D7516" w:rsidP="007D75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</w:t>
      </w:r>
    </w:p>
    <w:p w:rsidR="007D7516" w:rsidRPr="00843D8F" w:rsidRDefault="007D7516" w:rsidP="007D751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>муниципального образования</w:t>
      </w:r>
    </w:p>
    <w:p w:rsidR="007D7516" w:rsidRDefault="007D7516" w:rsidP="007D7516">
      <w:pPr>
        <w:framePr w:wrap="none" w:vAnchor="page" w:hAnchor="page" w:x="5852" w:y="11174"/>
        <w:rPr>
          <w:sz w:val="2"/>
          <w:szCs w:val="2"/>
        </w:rPr>
      </w:pPr>
    </w:p>
    <w:p w:rsidR="003F52D9" w:rsidRDefault="007D7516" w:rsidP="007D7516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Ю.В. Любкина</w:t>
      </w:r>
      <w:r w:rsidR="00E61E52">
        <w:rPr>
          <w:sz w:val="28"/>
          <w:szCs w:val="28"/>
        </w:rPr>
        <w:t xml:space="preserve"> </w:t>
      </w:r>
    </w:p>
    <w:p w:rsidR="00D93B0B" w:rsidRDefault="00D93B0B" w:rsidP="007246AC"/>
    <w:p w:rsidR="00552CC3" w:rsidRDefault="00552CC3" w:rsidP="007246AC"/>
    <w:p w:rsidR="00DA3BD7" w:rsidRDefault="00DA3BD7" w:rsidP="007246AC"/>
    <w:p w:rsidR="00DA3BD7" w:rsidRDefault="00DA3BD7" w:rsidP="007246AC"/>
    <w:p w:rsidR="00061F8F" w:rsidRDefault="00061F8F" w:rsidP="007246AC"/>
    <w:p w:rsidR="005B152F" w:rsidRDefault="005B152F" w:rsidP="007246AC"/>
    <w:p w:rsidR="00F67FD9" w:rsidRDefault="00F67FD9" w:rsidP="007246AC"/>
    <w:p w:rsidR="00F67FD9" w:rsidRDefault="00F67FD9" w:rsidP="007246AC"/>
    <w:p w:rsidR="00F67FD9" w:rsidRDefault="00F67FD9" w:rsidP="007246AC"/>
    <w:p w:rsidR="000208E0" w:rsidRDefault="000208E0" w:rsidP="007246AC"/>
    <w:p w:rsidR="00E61E52" w:rsidRDefault="00E61E52" w:rsidP="007246AC"/>
    <w:p w:rsidR="00DF4603" w:rsidRDefault="00DF4603" w:rsidP="007246AC"/>
    <w:p w:rsidR="00DF4603" w:rsidRDefault="00DF4603" w:rsidP="007246AC"/>
    <w:p w:rsidR="00DF4603" w:rsidRDefault="00DF4603" w:rsidP="007246AC"/>
    <w:p w:rsidR="000208E0" w:rsidRDefault="000208E0" w:rsidP="007246AC"/>
    <w:p w:rsidR="000208E0" w:rsidRDefault="000208E0" w:rsidP="007246AC"/>
    <w:p w:rsidR="000208E0" w:rsidRDefault="000208E0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762E03" w:rsidRDefault="00762E03" w:rsidP="007246AC"/>
    <w:p w:rsidR="00634528" w:rsidRDefault="00634528" w:rsidP="007246AC"/>
    <w:p w:rsidR="00634528" w:rsidRDefault="00634528" w:rsidP="007246AC"/>
    <w:p w:rsidR="007D7516" w:rsidRDefault="007D7516" w:rsidP="007246AC"/>
    <w:p w:rsidR="007D7516" w:rsidRDefault="007D7516" w:rsidP="007246AC"/>
    <w:p w:rsidR="007D7516" w:rsidRDefault="007D7516" w:rsidP="007246AC"/>
    <w:p w:rsidR="007D7516" w:rsidRDefault="007D7516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B8051D" w:rsidRDefault="00B8051D" w:rsidP="007246AC"/>
    <w:p w:rsidR="007246AC" w:rsidRDefault="00103CB1" w:rsidP="007246AC">
      <w:r>
        <w:t>Фоменко Сергей Николаевич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CE145E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5763D"/>
    <w:rsid w:val="00061F8F"/>
    <w:rsid w:val="00081851"/>
    <w:rsid w:val="00096D0F"/>
    <w:rsid w:val="000A027A"/>
    <w:rsid w:val="000A445F"/>
    <w:rsid w:val="000C0CB0"/>
    <w:rsid w:val="00103CB1"/>
    <w:rsid w:val="00107264"/>
    <w:rsid w:val="00116671"/>
    <w:rsid w:val="00125F7B"/>
    <w:rsid w:val="001516B2"/>
    <w:rsid w:val="00155818"/>
    <w:rsid w:val="00173DB2"/>
    <w:rsid w:val="00182719"/>
    <w:rsid w:val="001975F6"/>
    <w:rsid w:val="001B45D2"/>
    <w:rsid w:val="001B5DBB"/>
    <w:rsid w:val="001C7E4A"/>
    <w:rsid w:val="002357A0"/>
    <w:rsid w:val="00253F5C"/>
    <w:rsid w:val="002961FC"/>
    <w:rsid w:val="002E3B06"/>
    <w:rsid w:val="002F3606"/>
    <w:rsid w:val="003033EE"/>
    <w:rsid w:val="00303E7A"/>
    <w:rsid w:val="00313B16"/>
    <w:rsid w:val="00335495"/>
    <w:rsid w:val="0035432E"/>
    <w:rsid w:val="00372E34"/>
    <w:rsid w:val="003740B1"/>
    <w:rsid w:val="003B254E"/>
    <w:rsid w:val="003D5A1F"/>
    <w:rsid w:val="003F37AC"/>
    <w:rsid w:val="003F52D9"/>
    <w:rsid w:val="0040490F"/>
    <w:rsid w:val="00422B5C"/>
    <w:rsid w:val="004776D3"/>
    <w:rsid w:val="004B0331"/>
    <w:rsid w:val="004C2267"/>
    <w:rsid w:val="004C4A35"/>
    <w:rsid w:val="004D66F6"/>
    <w:rsid w:val="004F480E"/>
    <w:rsid w:val="0050245A"/>
    <w:rsid w:val="00543201"/>
    <w:rsid w:val="00545580"/>
    <w:rsid w:val="0055244E"/>
    <w:rsid w:val="00552CC3"/>
    <w:rsid w:val="00585ECE"/>
    <w:rsid w:val="005B152F"/>
    <w:rsid w:val="005B1EFC"/>
    <w:rsid w:val="005D3A11"/>
    <w:rsid w:val="005D7B88"/>
    <w:rsid w:val="005E1261"/>
    <w:rsid w:val="00634528"/>
    <w:rsid w:val="00670B06"/>
    <w:rsid w:val="007246AC"/>
    <w:rsid w:val="007257FD"/>
    <w:rsid w:val="00752760"/>
    <w:rsid w:val="00752BB5"/>
    <w:rsid w:val="00762E03"/>
    <w:rsid w:val="00774249"/>
    <w:rsid w:val="007A3617"/>
    <w:rsid w:val="007B0AFE"/>
    <w:rsid w:val="007C4888"/>
    <w:rsid w:val="007D7516"/>
    <w:rsid w:val="007E21DC"/>
    <w:rsid w:val="007F3F81"/>
    <w:rsid w:val="007F585A"/>
    <w:rsid w:val="0080020A"/>
    <w:rsid w:val="008540AC"/>
    <w:rsid w:val="0088019A"/>
    <w:rsid w:val="008F0751"/>
    <w:rsid w:val="008F3403"/>
    <w:rsid w:val="009125E6"/>
    <w:rsid w:val="00914899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6708"/>
    <w:rsid w:val="00A57107"/>
    <w:rsid w:val="00A66B8D"/>
    <w:rsid w:val="00A82951"/>
    <w:rsid w:val="00A956C4"/>
    <w:rsid w:val="00AA3E4B"/>
    <w:rsid w:val="00AE6FBA"/>
    <w:rsid w:val="00B07D3C"/>
    <w:rsid w:val="00B37EA7"/>
    <w:rsid w:val="00B43B57"/>
    <w:rsid w:val="00B56961"/>
    <w:rsid w:val="00B8051D"/>
    <w:rsid w:val="00B87E90"/>
    <w:rsid w:val="00B94CEE"/>
    <w:rsid w:val="00BA7C64"/>
    <w:rsid w:val="00BB223A"/>
    <w:rsid w:val="00BB483F"/>
    <w:rsid w:val="00BF401D"/>
    <w:rsid w:val="00C027E3"/>
    <w:rsid w:val="00C05C30"/>
    <w:rsid w:val="00C35883"/>
    <w:rsid w:val="00C45219"/>
    <w:rsid w:val="00C45297"/>
    <w:rsid w:val="00C605B0"/>
    <w:rsid w:val="00C75C3F"/>
    <w:rsid w:val="00C879D0"/>
    <w:rsid w:val="00CC678F"/>
    <w:rsid w:val="00CD18E0"/>
    <w:rsid w:val="00CD62C4"/>
    <w:rsid w:val="00CE145E"/>
    <w:rsid w:val="00D136CE"/>
    <w:rsid w:val="00D20B4A"/>
    <w:rsid w:val="00D25C5D"/>
    <w:rsid w:val="00D37078"/>
    <w:rsid w:val="00D76E07"/>
    <w:rsid w:val="00D807B4"/>
    <w:rsid w:val="00D93B0B"/>
    <w:rsid w:val="00DA3BD7"/>
    <w:rsid w:val="00DB5D54"/>
    <w:rsid w:val="00DF4603"/>
    <w:rsid w:val="00DF5974"/>
    <w:rsid w:val="00E06461"/>
    <w:rsid w:val="00E13AAE"/>
    <w:rsid w:val="00E20C6B"/>
    <w:rsid w:val="00E53927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1189"/>
    <w:rsid w:val="00F07F67"/>
    <w:rsid w:val="00F67FD9"/>
    <w:rsid w:val="00F96E76"/>
    <w:rsid w:val="00FD6406"/>
    <w:rsid w:val="00FD69D1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1AD7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13</cp:revision>
  <cp:lastPrinted>2025-05-30T06:23:00Z</cp:lastPrinted>
  <dcterms:created xsi:type="dcterms:W3CDTF">2025-05-12T06:38:00Z</dcterms:created>
  <dcterms:modified xsi:type="dcterms:W3CDTF">2025-12-22T09:14:00Z</dcterms:modified>
</cp:coreProperties>
</file>