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81851">
        <w:rPr>
          <w:sz w:val="28"/>
        </w:rPr>
        <w:t xml:space="preserve"> </w:t>
      </w:r>
      <w:r w:rsidR="007C4888">
        <w:rPr>
          <w:sz w:val="28"/>
        </w:rPr>
        <w:t>118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B056FE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</w:p>
    <w:p w:rsidR="00F67FD9" w:rsidRDefault="00335495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0818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056FE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081851">
        <w:rPr>
          <w:rFonts w:ascii="Times New Roman" w:hAnsi="Times New Roman"/>
          <w:spacing w:val="2"/>
          <w:sz w:val="28"/>
          <w:szCs w:val="28"/>
        </w:rPr>
        <w:t>район</w:t>
      </w:r>
      <w:r w:rsidR="00B056FE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7C4888" w:rsidRDefault="007C4888" w:rsidP="007C488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перевозок, переоформление свидетельств об осуществлении перевозок по муниципальному пригородному маршруту регулярных перевозок и карт маршрута </w:t>
      </w:r>
    </w:p>
    <w:p w:rsidR="007C4888" w:rsidRDefault="007C4888" w:rsidP="007C488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регулярных перевозок в муниципальном образовании </w:t>
      </w:r>
    </w:p>
    <w:p w:rsidR="00E7685F" w:rsidRDefault="007C4888" w:rsidP="007C4888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края»</w:t>
      </w:r>
    </w:p>
    <w:p w:rsidR="007C4888" w:rsidRDefault="007C4888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9B115B">
        <w:rPr>
          <w:sz w:val="28"/>
          <w:szCs w:val="28"/>
        </w:rPr>
        <w:t>«</w:t>
      </w:r>
      <w:r w:rsidR="007C4888">
        <w:rPr>
          <w:sz w:val="28"/>
          <w:szCs w:val="28"/>
        </w:rPr>
        <w:t xml:space="preserve"> 24</w:t>
      </w:r>
      <w:proofErr w:type="gramEnd"/>
      <w:r w:rsidR="007C4888">
        <w:rPr>
          <w:sz w:val="28"/>
          <w:szCs w:val="28"/>
        </w:rPr>
        <w:t xml:space="preserve"> </w:t>
      </w:r>
      <w:r w:rsidRPr="009B115B">
        <w:rPr>
          <w:sz w:val="28"/>
          <w:szCs w:val="28"/>
        </w:rPr>
        <w:t xml:space="preserve">» </w:t>
      </w:r>
      <w:r w:rsidR="007C4888">
        <w:rPr>
          <w:sz w:val="28"/>
          <w:szCs w:val="28"/>
        </w:rPr>
        <w:t>декабря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62E03" w:rsidRPr="000208E0" w:rsidRDefault="007257FD" w:rsidP="00762E03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район </w:t>
      </w:r>
      <w:r w:rsidR="001B5DB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Краснодарского края,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C4888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перевозок,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</w:t>
      </w:r>
      <w:proofErr w:type="spellStart"/>
      <w:r w:rsidR="007C4888">
        <w:rPr>
          <w:rFonts w:ascii="Times New Roman" w:hAnsi="Times New Roman"/>
          <w:sz w:val="28"/>
          <w:szCs w:val="28"/>
        </w:rPr>
        <w:t>Ейский</w:t>
      </w:r>
      <w:proofErr w:type="spellEnd"/>
      <w:r w:rsidR="007C4888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края»</w:t>
      </w:r>
      <w:r w:rsidR="00762E03">
        <w:rPr>
          <w:sz w:val="28"/>
          <w:szCs w:val="28"/>
        </w:rPr>
        <w:t>,</w:t>
      </w:r>
      <w:r w:rsidR="007C4888">
        <w:rPr>
          <w:sz w:val="28"/>
          <w:szCs w:val="28"/>
        </w:rPr>
        <w:t xml:space="preserve"> </w:t>
      </w:r>
      <w:r w:rsidR="00762E0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отдела транспорта и связи</w:t>
      </w:r>
      <w:r w:rsidR="00762E0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762E03" w:rsidRDefault="00762E03" w:rsidP="00762E03">
      <w:pPr>
        <w:ind w:firstLine="709"/>
        <w:jc w:val="both"/>
        <w:rPr>
          <w:sz w:val="28"/>
        </w:rPr>
      </w:pPr>
      <w:r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>
          <w:rPr>
            <w:rStyle w:val="a4"/>
            <w:color w:val="000000" w:themeColor="text1"/>
            <w:sz w:val="28"/>
            <w:szCs w:val="28"/>
          </w:rPr>
          <w:t>www.yeiskraion.ru</w:t>
        </w:r>
      </w:hyperlink>
      <w:r>
        <w:rPr>
          <w:sz w:val="28"/>
        </w:rPr>
        <w:t xml:space="preserve"> в информационно-телекоммуникационной сети «Интернет» подразделе </w:t>
      </w:r>
      <w:r w:rsidRPr="00762E03">
        <w:rPr>
          <w:sz w:val="28"/>
        </w:rPr>
        <w:t>«</w:t>
      </w:r>
      <w:r w:rsidRPr="00762E03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762E03">
        <w:rPr>
          <w:sz w:val="28"/>
        </w:rPr>
        <w:t>»</w:t>
      </w:r>
      <w:r>
        <w:rPr>
          <w:sz w:val="28"/>
        </w:rPr>
        <w:t xml:space="preserve"> раздела «Административная реформа» для проведения независимой антикоррупционной экспертизы.</w:t>
      </w:r>
    </w:p>
    <w:p w:rsidR="007257FD" w:rsidRPr="00762E03" w:rsidRDefault="007257FD" w:rsidP="00762E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E03">
        <w:rPr>
          <w:rFonts w:ascii="Times New Roman" w:hAnsi="Times New Roman" w:cs="Times New Roman"/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762E03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762E03">
        <w:rPr>
          <w:rFonts w:ascii="Times New Roman" w:hAnsi="Times New Roman" w:cs="Times New Roman"/>
          <w:sz w:val="28"/>
          <w:szCs w:val="28"/>
        </w:rPr>
        <w:t xml:space="preserve"> </w:t>
      </w:r>
      <w:r w:rsidR="00BA7C6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62E03">
        <w:rPr>
          <w:rFonts w:ascii="Times New Roman" w:hAnsi="Times New Roman" w:cs="Times New Roman"/>
          <w:sz w:val="28"/>
          <w:szCs w:val="28"/>
        </w:rPr>
        <w:t>район</w:t>
      </w:r>
      <w:r w:rsidR="00BA7C6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2E03"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762E03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762E03">
        <w:rPr>
          <w:rFonts w:ascii="Times New Roman" w:hAnsi="Times New Roman" w:cs="Times New Roman"/>
          <w:sz w:val="28"/>
          <w:szCs w:val="28"/>
        </w:rPr>
        <w:t xml:space="preserve"> </w:t>
      </w:r>
      <w:r w:rsidR="0054320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62E03">
        <w:rPr>
          <w:rFonts w:ascii="Times New Roman" w:hAnsi="Times New Roman" w:cs="Times New Roman"/>
          <w:sz w:val="28"/>
          <w:szCs w:val="28"/>
        </w:rPr>
        <w:t>район</w:t>
      </w:r>
      <w:r w:rsidR="0054320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2E03">
        <w:rPr>
          <w:rFonts w:ascii="Times New Roman" w:hAnsi="Times New Roman" w:cs="Times New Roman"/>
          <w:sz w:val="28"/>
          <w:szCs w:val="28"/>
        </w:rPr>
        <w:t>, от независимых экспертов заключения не поступали.</w:t>
      </w:r>
    </w:p>
    <w:p w:rsidR="0003056C" w:rsidRDefault="0003056C" w:rsidP="0003056C">
      <w:pPr>
        <w:ind w:firstLine="709"/>
        <w:jc w:val="both"/>
        <w:rPr>
          <w:sz w:val="28"/>
          <w:szCs w:val="28"/>
        </w:rPr>
      </w:pPr>
      <w:r w:rsidRPr="00FE29F0">
        <w:rPr>
          <w:sz w:val="28"/>
          <w:szCs w:val="28"/>
        </w:rPr>
        <w:t xml:space="preserve">В ходе антикоррупционной экспертизы Проекта обнаружены следующие коррупциогенные факторы, в соответствии с Методикой проведения антикоррупционной экспертизы нормативных правовых актов и проектов </w:t>
      </w:r>
      <w:r w:rsidRPr="003A5E5A">
        <w:rPr>
          <w:sz w:val="28"/>
          <w:szCs w:val="28"/>
        </w:rPr>
        <w:t xml:space="preserve">нормативных правовых актов, утвержденной Постановлением </w:t>
      </w:r>
      <w:r w:rsidRPr="003A5E5A">
        <w:rPr>
          <w:sz w:val="28"/>
          <w:szCs w:val="28"/>
        </w:rPr>
        <w:lastRenderedPageBreak/>
        <w:t>Правительства Российской Федерации от 26 февраля 2010 года № 96 (далее – Методика)</w:t>
      </w:r>
      <w:r w:rsidR="00543201">
        <w:rPr>
          <w:sz w:val="28"/>
          <w:szCs w:val="28"/>
        </w:rPr>
        <w:t>:</w:t>
      </w:r>
    </w:p>
    <w:p w:rsidR="00FD6406" w:rsidRDefault="00FD6406" w:rsidP="00FD640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FD6406" w:rsidRPr="00516912" w:rsidTr="00DF4603">
        <w:tc>
          <w:tcPr>
            <w:tcW w:w="548" w:type="dxa"/>
            <w:vMerge w:val="restart"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CC678F" w:rsidP="0040490F">
            <w:pPr>
              <w:jc w:val="both"/>
              <w:rPr>
                <w:sz w:val="20"/>
                <w:szCs w:val="20"/>
              </w:rPr>
            </w:pPr>
            <w:r w:rsidRPr="00CC678F">
              <w:rPr>
                <w:sz w:val="20"/>
                <w:szCs w:val="20"/>
                <w:u w:val="single"/>
              </w:rPr>
              <w:t>п. 15</w:t>
            </w:r>
            <w:r w:rsidR="00FD6406" w:rsidRPr="00CC678F">
              <w:rPr>
                <w:sz w:val="20"/>
                <w:szCs w:val="20"/>
              </w:rPr>
              <w:t xml:space="preserve"> </w:t>
            </w:r>
            <w:r w:rsidR="00A66B8D" w:rsidRPr="00CC678F">
              <w:rPr>
                <w:sz w:val="20"/>
                <w:szCs w:val="20"/>
              </w:rPr>
              <w:t xml:space="preserve">проекта </w:t>
            </w:r>
            <w:r w:rsidR="00AE6FBA" w:rsidRPr="00CC678F">
              <w:rPr>
                <w:sz w:val="20"/>
                <w:szCs w:val="20"/>
              </w:rPr>
              <w:t>административного регламента</w:t>
            </w:r>
            <w:r w:rsidR="00A66B8D" w:rsidRPr="00CC678F">
              <w:rPr>
                <w:sz w:val="20"/>
                <w:szCs w:val="20"/>
              </w:rPr>
              <w:t xml:space="preserve"> </w:t>
            </w:r>
            <w:r w:rsidR="004B0331" w:rsidRPr="00CC678F">
              <w:rPr>
                <w:sz w:val="20"/>
                <w:szCs w:val="20"/>
              </w:rPr>
              <w:t>п</w:t>
            </w:r>
            <w:r w:rsidR="00A66B8D" w:rsidRPr="00CC678F">
              <w:rPr>
                <w:sz w:val="20"/>
                <w:szCs w:val="20"/>
              </w:rPr>
              <w:t>о</w:t>
            </w:r>
            <w:r w:rsidR="00762E03" w:rsidRPr="00CC678F">
              <w:rPr>
                <w:sz w:val="20"/>
                <w:szCs w:val="20"/>
              </w:rPr>
              <w:t xml:space="preserve"> предоставлению муниципальной услуги по</w:t>
            </w:r>
            <w:r w:rsidR="00A66B8D" w:rsidRPr="00CC678F">
              <w:rPr>
                <w:sz w:val="20"/>
                <w:szCs w:val="20"/>
              </w:rPr>
              <w:t xml:space="preserve"> </w:t>
            </w:r>
            <w:r w:rsidRPr="00CC678F">
              <w:rPr>
                <w:sz w:val="20"/>
                <w:szCs w:val="20"/>
              </w:rPr>
              <w:t>оформлению свидетельств об осуществлении перевозок по муниципальному пригородному маршруту регулярных перевозок и карт маршрута регулярных перевозок, переоформлению свидетельств об осуществлении перевозок по муниципальному пригородному маршруту регулярных перевозок и карт маршрута</w:t>
            </w:r>
            <w:r w:rsidR="00F96E76">
              <w:rPr>
                <w:sz w:val="20"/>
                <w:szCs w:val="20"/>
              </w:rPr>
              <w:t xml:space="preserve"> </w:t>
            </w:r>
            <w:r w:rsidRPr="00CC678F">
              <w:rPr>
                <w:sz w:val="20"/>
                <w:szCs w:val="20"/>
              </w:rPr>
              <w:t>регулярных перевозок</w:t>
            </w:r>
            <w:r w:rsidR="00F96E76">
              <w:rPr>
                <w:sz w:val="20"/>
                <w:szCs w:val="20"/>
              </w:rPr>
              <w:t xml:space="preserve"> (далее </w:t>
            </w:r>
            <w:r w:rsidR="0040490F">
              <w:rPr>
                <w:sz w:val="20"/>
                <w:szCs w:val="20"/>
              </w:rPr>
              <w:t>–</w:t>
            </w:r>
            <w:r w:rsidR="00F96E76">
              <w:rPr>
                <w:sz w:val="20"/>
                <w:szCs w:val="20"/>
              </w:rPr>
              <w:t xml:space="preserve"> </w:t>
            </w:r>
            <w:r w:rsidR="0040490F">
              <w:rPr>
                <w:sz w:val="20"/>
                <w:szCs w:val="20"/>
              </w:rPr>
              <w:t xml:space="preserve">проект </w:t>
            </w:r>
            <w:r w:rsidR="00F96E76">
              <w:rPr>
                <w:sz w:val="20"/>
                <w:szCs w:val="20"/>
              </w:rPr>
              <w:t>регламент</w:t>
            </w:r>
            <w:r w:rsidR="0040490F">
              <w:rPr>
                <w:sz w:val="20"/>
                <w:szCs w:val="20"/>
              </w:rPr>
              <w:t>а</w:t>
            </w:r>
            <w:r w:rsidR="006D1C24">
              <w:rPr>
                <w:sz w:val="20"/>
                <w:szCs w:val="20"/>
              </w:rPr>
              <w:t>), по отношению</w:t>
            </w:r>
            <w:bookmarkStart w:id="0" w:name="_GoBack"/>
            <w:bookmarkEnd w:id="0"/>
            <w:r w:rsidR="00F96E76">
              <w:rPr>
                <w:sz w:val="20"/>
                <w:szCs w:val="20"/>
              </w:rPr>
              <w:t xml:space="preserve"> к требованиям п. 51, п.53 </w:t>
            </w:r>
            <w:r w:rsidR="0040490F">
              <w:rPr>
                <w:sz w:val="20"/>
                <w:szCs w:val="20"/>
              </w:rPr>
              <w:t xml:space="preserve">проекта </w:t>
            </w:r>
            <w:r w:rsidR="00F96E76">
              <w:rPr>
                <w:sz w:val="20"/>
                <w:szCs w:val="20"/>
              </w:rPr>
              <w:t>регламента</w:t>
            </w:r>
          </w:p>
        </w:tc>
      </w:tr>
      <w:tr w:rsidR="00FD6406" w:rsidRPr="00516912" w:rsidTr="00DF4603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FD6406" w:rsidRDefault="00DF4603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="00CC678F">
              <w:rPr>
                <w:color w:val="000000" w:themeColor="text1"/>
                <w:sz w:val="20"/>
                <w:szCs w:val="20"/>
              </w:rPr>
              <w:t>15. Максимальный срок предоставления Услуги составляет 5 рабочих дней с даты регистрации заявления о предоставлении Услуги и документов, необходимых для предоставления Услуги</w:t>
            </w:r>
            <w:r w:rsidR="001516B2">
              <w:rPr>
                <w:color w:val="000000" w:themeColor="text1"/>
                <w:sz w:val="20"/>
                <w:szCs w:val="20"/>
              </w:rPr>
              <w:t xml:space="preserve">. Срок предоставления Услуги определяется для каждого варианта и приведен в их описании, содержащемся в разделе </w:t>
            </w:r>
            <w:r w:rsidR="001516B2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="001516B2">
              <w:rPr>
                <w:color w:val="000000" w:themeColor="text1"/>
                <w:sz w:val="20"/>
                <w:szCs w:val="20"/>
              </w:rPr>
              <w:t xml:space="preserve"> регламента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="00013F8A" w:rsidRPr="00013F8A">
              <w:rPr>
                <w:color w:val="000000" w:themeColor="text1"/>
                <w:sz w:val="20"/>
                <w:szCs w:val="20"/>
              </w:rPr>
              <w:t>.</w:t>
            </w:r>
          </w:p>
          <w:p w:rsidR="001516B2" w:rsidRDefault="001516B2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516B2" w:rsidRDefault="001516B2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также, далее</w:t>
            </w:r>
            <w:r w:rsidR="00D20B4A">
              <w:rPr>
                <w:color w:val="000000" w:themeColor="text1"/>
                <w:sz w:val="20"/>
                <w:szCs w:val="20"/>
              </w:rPr>
              <w:t xml:space="preserve"> по тексту</w:t>
            </w:r>
            <w:r w:rsidR="0040490F">
              <w:rPr>
                <w:color w:val="000000" w:themeColor="text1"/>
                <w:sz w:val="20"/>
                <w:szCs w:val="20"/>
              </w:rPr>
              <w:t xml:space="preserve"> проекта </w:t>
            </w:r>
            <w:r w:rsidR="00F96E76">
              <w:rPr>
                <w:color w:val="000000" w:themeColor="text1"/>
                <w:sz w:val="20"/>
                <w:szCs w:val="20"/>
              </w:rPr>
              <w:t>регламента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:rsidR="001516B2" w:rsidRDefault="001516B2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516B2" w:rsidRDefault="001516B2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«51</w:t>
            </w:r>
            <w:r w:rsidR="00D20B4A">
              <w:rPr>
                <w:color w:val="000000" w:themeColor="text1"/>
                <w:sz w:val="20"/>
                <w:szCs w:val="20"/>
              </w:rPr>
              <w:t>. Принятие решения о предоставлении Услуги осуществляется в срок не превышающий 2 рабочих ней со дня получения Уполномоченным органом всех сведений, необходимых для принятия решения.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  <w:p w:rsidR="00D20B4A" w:rsidRDefault="00D20B4A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20B4A" w:rsidRDefault="00D20B4A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также, далее по тексту</w:t>
            </w:r>
            <w:r w:rsidR="00F96E76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490F">
              <w:rPr>
                <w:color w:val="000000" w:themeColor="text1"/>
                <w:sz w:val="20"/>
                <w:szCs w:val="20"/>
              </w:rPr>
              <w:t xml:space="preserve">проекта </w:t>
            </w:r>
            <w:r w:rsidR="00F96E76">
              <w:rPr>
                <w:color w:val="000000" w:themeColor="text1"/>
                <w:sz w:val="20"/>
                <w:szCs w:val="20"/>
              </w:rPr>
              <w:t>регламента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:rsidR="00D20B4A" w:rsidRDefault="00D20B4A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20B4A" w:rsidRDefault="00D20B4A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«53. Предоставление результата услуги осуществляется в срок, не </w:t>
            </w:r>
            <w:r w:rsidR="00B56961">
              <w:rPr>
                <w:color w:val="000000" w:themeColor="text1"/>
                <w:sz w:val="20"/>
                <w:szCs w:val="20"/>
              </w:rPr>
              <w:t xml:space="preserve">превышающий </w:t>
            </w:r>
            <w:r w:rsidR="00F96E76">
              <w:rPr>
                <w:color w:val="000000" w:themeColor="text1"/>
                <w:sz w:val="20"/>
                <w:szCs w:val="20"/>
              </w:rPr>
              <w:t>5 рабочих дней со дня принятия решения о предоставлении Услуги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  <w:p w:rsidR="001516B2" w:rsidRPr="00013F8A" w:rsidRDefault="001516B2" w:rsidP="001516B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9E2022" w:rsidP="009E2022">
            <w:pPr>
              <w:jc w:val="both"/>
              <w:rPr>
                <w:sz w:val="20"/>
                <w:szCs w:val="20"/>
              </w:rPr>
            </w:pPr>
            <w:r w:rsidRPr="009E2022">
              <w:rPr>
                <w:color w:val="000000" w:themeColor="text1"/>
                <w:sz w:val="20"/>
                <w:szCs w:val="20"/>
              </w:rPr>
              <w:t xml:space="preserve">нормативные коллизии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022">
              <w:rPr>
                <w:color w:val="000000" w:themeColor="text1"/>
                <w:sz w:val="20"/>
                <w:szCs w:val="20"/>
              </w:rPr>
              <w:t xml:space="preserve">согласно подпункта «и», пункта 3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E2022">
              <w:rPr>
                <w:color w:val="000000" w:themeColor="text1"/>
                <w:sz w:val="20"/>
                <w:szCs w:val="20"/>
              </w:rPr>
              <w:t>етодики</w:t>
            </w: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9E2022" w:rsidRPr="009E2022" w:rsidRDefault="009E2022" w:rsidP="009E202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2022">
              <w:rPr>
                <w:b/>
                <w:color w:val="000000" w:themeColor="text1"/>
                <w:sz w:val="20"/>
                <w:szCs w:val="20"/>
              </w:rPr>
              <w:t>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  <w:r w:rsidR="001B45D2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:rsidR="001B45D2" w:rsidRDefault="001B45D2" w:rsidP="00800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B45D2" w:rsidRDefault="001B45D2" w:rsidP="00800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Общий срок предоставления Услуги не соответствует срокам административных процедур.</w:t>
            </w:r>
          </w:p>
          <w:p w:rsidR="001B45D2" w:rsidRDefault="001B45D2" w:rsidP="00800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D6406" w:rsidRPr="00E5759B" w:rsidRDefault="005B1EFC" w:rsidP="005B1E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Также имеют место повторение </w:t>
            </w:r>
            <w:r w:rsidR="001B45D2">
              <w:rPr>
                <w:color w:val="000000" w:themeColor="text1"/>
                <w:sz w:val="20"/>
                <w:szCs w:val="20"/>
              </w:rPr>
              <w:t>требовани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="001B45D2">
              <w:rPr>
                <w:color w:val="000000" w:themeColor="text1"/>
                <w:sz w:val="20"/>
                <w:szCs w:val="20"/>
              </w:rPr>
              <w:t xml:space="preserve"> п. 15 </w:t>
            </w:r>
            <w:r w:rsidR="0040490F">
              <w:rPr>
                <w:color w:val="000000" w:themeColor="text1"/>
                <w:sz w:val="20"/>
                <w:szCs w:val="20"/>
              </w:rPr>
              <w:t xml:space="preserve">проекта </w:t>
            </w:r>
            <w:r w:rsidR="001B45D2">
              <w:rPr>
                <w:color w:val="000000" w:themeColor="text1"/>
                <w:sz w:val="20"/>
                <w:szCs w:val="20"/>
              </w:rPr>
              <w:t>регламента, в каждом из вариантов предоставления Услуги</w:t>
            </w:r>
            <w:r>
              <w:rPr>
                <w:color w:val="000000" w:themeColor="text1"/>
                <w:sz w:val="20"/>
                <w:szCs w:val="20"/>
              </w:rPr>
              <w:t xml:space="preserve">, отраженных в п. 39, 55, 71. 87, 103, 119, 135, 151, 167, 183, 199, 215, 231, 247, 263, 279, 295, 311, 327, 343, 359, 375, 391, 407. </w:t>
            </w:r>
          </w:p>
        </w:tc>
      </w:tr>
      <w:tr w:rsidR="00FD6406" w:rsidRPr="00516912" w:rsidTr="00DF4603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545580" w:rsidP="004049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устранить </w:t>
            </w:r>
            <w:r w:rsidR="00A66B8D">
              <w:rPr>
                <w:sz w:val="20"/>
                <w:szCs w:val="20"/>
              </w:rPr>
              <w:t xml:space="preserve">противоречия, </w:t>
            </w:r>
            <w:r w:rsidR="00103CB1">
              <w:rPr>
                <w:sz w:val="20"/>
                <w:szCs w:val="20"/>
              </w:rPr>
              <w:t>изложив</w:t>
            </w:r>
            <w:r w:rsidR="00A66B8D">
              <w:rPr>
                <w:sz w:val="20"/>
                <w:szCs w:val="20"/>
              </w:rPr>
              <w:t xml:space="preserve"> </w:t>
            </w:r>
            <w:r w:rsidR="001B45D2">
              <w:rPr>
                <w:sz w:val="20"/>
                <w:szCs w:val="20"/>
              </w:rPr>
              <w:t>требования</w:t>
            </w:r>
            <w:r w:rsidR="00103CB1">
              <w:rPr>
                <w:sz w:val="20"/>
                <w:szCs w:val="20"/>
              </w:rPr>
              <w:t xml:space="preserve"> </w:t>
            </w:r>
            <w:r w:rsidR="00A66B8D">
              <w:rPr>
                <w:sz w:val="20"/>
                <w:szCs w:val="20"/>
              </w:rPr>
              <w:t xml:space="preserve"> </w:t>
            </w:r>
            <w:r w:rsidR="0040490F">
              <w:rPr>
                <w:sz w:val="20"/>
                <w:szCs w:val="20"/>
              </w:rPr>
              <w:t>проекта</w:t>
            </w:r>
            <w:r w:rsidR="00103CB1">
              <w:rPr>
                <w:sz w:val="20"/>
                <w:szCs w:val="20"/>
              </w:rPr>
              <w:t xml:space="preserve"> регламента в новой редакции, в соответствии с требованиями действующего законодательства</w:t>
            </w:r>
          </w:p>
        </w:tc>
      </w:tr>
    </w:tbl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C605B0" w:rsidRPr="00516912" w:rsidTr="00373608">
        <w:tc>
          <w:tcPr>
            <w:tcW w:w="548" w:type="dxa"/>
            <w:vMerge w:val="restart"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C605B0" w:rsidRPr="00036754" w:rsidRDefault="00C605B0" w:rsidP="0040490F">
            <w:pPr>
              <w:jc w:val="both"/>
              <w:rPr>
                <w:sz w:val="20"/>
                <w:szCs w:val="20"/>
              </w:rPr>
            </w:pPr>
            <w:r w:rsidRPr="00CC678F">
              <w:rPr>
                <w:sz w:val="20"/>
                <w:szCs w:val="20"/>
                <w:u w:val="single"/>
              </w:rPr>
              <w:t>п. 1</w:t>
            </w:r>
            <w:r>
              <w:rPr>
                <w:sz w:val="20"/>
                <w:szCs w:val="20"/>
                <w:u w:val="single"/>
              </w:rPr>
              <w:t>7</w:t>
            </w:r>
            <w:r w:rsidRPr="00CC678F">
              <w:rPr>
                <w:sz w:val="20"/>
                <w:szCs w:val="20"/>
              </w:rPr>
              <w:t xml:space="preserve"> проекта регламента </w:t>
            </w:r>
          </w:p>
        </w:tc>
      </w:tr>
      <w:tr w:rsidR="00C605B0" w:rsidRPr="00516912" w:rsidTr="00373608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C605B0" w:rsidRDefault="00C605B0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4899">
              <w:rPr>
                <w:color w:val="000000" w:themeColor="text1"/>
                <w:sz w:val="20"/>
                <w:szCs w:val="20"/>
              </w:rPr>
              <w:t>«1</w:t>
            </w:r>
            <w:r w:rsidR="0040490F" w:rsidRPr="00914899">
              <w:rPr>
                <w:color w:val="000000" w:themeColor="text1"/>
                <w:sz w:val="20"/>
                <w:szCs w:val="20"/>
              </w:rPr>
              <w:t>7</w:t>
            </w:r>
            <w:r w:rsidRPr="00914899">
              <w:rPr>
                <w:color w:val="000000" w:themeColor="text1"/>
                <w:sz w:val="20"/>
                <w:szCs w:val="20"/>
              </w:rPr>
              <w:t>.</w:t>
            </w:r>
            <w:r w:rsidR="00F01189">
              <w:rPr>
                <w:color w:val="000000" w:themeColor="text1"/>
                <w:sz w:val="20"/>
                <w:szCs w:val="20"/>
              </w:rPr>
              <w:t xml:space="preserve"> Документы, необходимые в соответствии с законодательными или иными нормативными правовыми актами для </w:t>
            </w:r>
            <w:r w:rsidR="00FF53B2">
              <w:rPr>
                <w:color w:val="000000" w:themeColor="text1"/>
                <w:sz w:val="20"/>
                <w:szCs w:val="20"/>
              </w:rPr>
              <w:t>предоставления</w:t>
            </w:r>
            <w:r w:rsidR="00F01189">
              <w:rPr>
                <w:color w:val="000000" w:themeColor="text1"/>
                <w:sz w:val="20"/>
                <w:szCs w:val="20"/>
              </w:rPr>
              <w:t xml:space="preserve"> Услуги, которые заявитель </w:t>
            </w:r>
            <w:r w:rsidR="00FF53B2">
              <w:rPr>
                <w:color w:val="000000" w:themeColor="text1"/>
                <w:sz w:val="20"/>
                <w:szCs w:val="20"/>
              </w:rPr>
              <w:t>должен предоставить</w:t>
            </w:r>
            <w:r w:rsidR="00F01189">
              <w:rPr>
                <w:color w:val="000000" w:themeColor="text1"/>
                <w:sz w:val="20"/>
                <w:szCs w:val="20"/>
              </w:rPr>
              <w:t xml:space="preserve"> самостоятельно, законодательными или иными нормативными правовыми актами не предусмотрены.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013F8A">
              <w:rPr>
                <w:color w:val="000000" w:themeColor="text1"/>
                <w:sz w:val="20"/>
                <w:szCs w:val="20"/>
              </w:rPr>
              <w:t>.</w:t>
            </w:r>
          </w:p>
          <w:p w:rsidR="00C605B0" w:rsidRDefault="00C605B0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605B0" w:rsidRPr="00013F8A" w:rsidRDefault="00C605B0" w:rsidP="0091489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605B0" w:rsidRPr="00516912" w:rsidTr="00373608"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C605B0" w:rsidRPr="00036754" w:rsidRDefault="00C605B0" w:rsidP="00373608">
            <w:pPr>
              <w:jc w:val="both"/>
              <w:rPr>
                <w:sz w:val="20"/>
                <w:szCs w:val="20"/>
              </w:rPr>
            </w:pPr>
            <w:r w:rsidRPr="009E2022">
              <w:rPr>
                <w:color w:val="000000" w:themeColor="text1"/>
                <w:sz w:val="20"/>
                <w:szCs w:val="20"/>
              </w:rPr>
              <w:t xml:space="preserve">нормативные коллизии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022">
              <w:rPr>
                <w:color w:val="000000" w:themeColor="text1"/>
                <w:sz w:val="20"/>
                <w:szCs w:val="20"/>
              </w:rPr>
              <w:t xml:space="preserve">согласно подпункта «и», пункта 3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E2022">
              <w:rPr>
                <w:color w:val="000000" w:themeColor="text1"/>
                <w:sz w:val="20"/>
                <w:szCs w:val="20"/>
              </w:rPr>
              <w:t>етодики</w:t>
            </w:r>
          </w:p>
        </w:tc>
      </w:tr>
      <w:tr w:rsidR="00C605B0" w:rsidRPr="00516912" w:rsidTr="00373608"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C605B0" w:rsidRPr="009E2022" w:rsidRDefault="00C605B0" w:rsidP="0037360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2022">
              <w:rPr>
                <w:b/>
                <w:color w:val="000000" w:themeColor="text1"/>
                <w:sz w:val="20"/>
                <w:szCs w:val="20"/>
              </w:rPr>
              <w:t>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  <w:r w:rsidR="00914899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C605B0" w:rsidRDefault="00C605B0" w:rsidP="0037360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605B0" w:rsidRPr="00E5759B" w:rsidRDefault="00C605B0" w:rsidP="0063452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Также имеют место повторение требований п. 1</w:t>
            </w:r>
            <w:r w:rsidR="00634528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 xml:space="preserve"> регламента, в каждом из вариантов предоставления Услуги, отраженных в п. </w:t>
            </w:r>
            <w:r w:rsidR="00634528">
              <w:rPr>
                <w:color w:val="000000" w:themeColor="text1"/>
                <w:sz w:val="20"/>
                <w:szCs w:val="20"/>
              </w:rPr>
              <w:t>44, 60, 76, 92, 108, 124, 140, 156, 172, 188, 204, 220, 236, 252, 268, 284, 300, 316, 332, 348, 364, 380, 396, 412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C605B0" w:rsidRPr="00516912" w:rsidTr="00373608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C605B0" w:rsidRPr="00036754" w:rsidRDefault="00C605B0" w:rsidP="003736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устранить противоречия, изложив требования  административного регламента в новой редакции, в соответствии с требованиями действующего законодательства</w:t>
            </w:r>
          </w:p>
        </w:tc>
      </w:tr>
    </w:tbl>
    <w:p w:rsidR="00C605B0" w:rsidRDefault="00C605B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2022" w:rsidRPr="00051217" w:rsidRDefault="009E2022" w:rsidP="009E202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 на основании вышеизложенного, П</w:t>
      </w:r>
      <w:r w:rsidRPr="002B4D16">
        <w:rPr>
          <w:b w:val="0"/>
          <w:sz w:val="28"/>
          <w:szCs w:val="28"/>
        </w:rPr>
        <w:t xml:space="preserve">роект </w:t>
      </w:r>
      <w:r w:rsidRPr="00051217">
        <w:rPr>
          <w:b w:val="0"/>
          <w:sz w:val="28"/>
          <w:szCs w:val="28"/>
        </w:rPr>
        <w:t>не рекомендован к принятию.</w:t>
      </w:r>
    </w:p>
    <w:p w:rsidR="009E2022" w:rsidRPr="009E2022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56FE" w:rsidRPr="00843D8F" w:rsidRDefault="00B056FE" w:rsidP="00B05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3D8F">
        <w:rPr>
          <w:sz w:val="28"/>
          <w:szCs w:val="28"/>
        </w:rPr>
        <w:t>ачальник правового управления</w:t>
      </w:r>
    </w:p>
    <w:p w:rsidR="00B056FE" w:rsidRDefault="00B056FE" w:rsidP="00B05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B056FE" w:rsidRPr="00843D8F" w:rsidRDefault="00B056FE" w:rsidP="00B05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муниципального образования</w:t>
      </w:r>
    </w:p>
    <w:p w:rsidR="00B056FE" w:rsidRDefault="00B056FE" w:rsidP="00B056FE">
      <w:pPr>
        <w:framePr w:wrap="none" w:vAnchor="page" w:hAnchor="page" w:x="5852" w:y="11174"/>
        <w:rPr>
          <w:sz w:val="2"/>
          <w:szCs w:val="2"/>
        </w:rPr>
      </w:pPr>
    </w:p>
    <w:p w:rsidR="003F52D9" w:rsidRDefault="00B056FE" w:rsidP="00B056FE">
      <w:pPr>
        <w:widowControl w:val="0"/>
        <w:autoSpaceDE w:val="0"/>
        <w:autoSpaceDN w:val="0"/>
        <w:adjustRightInd w:val="0"/>
        <w:ind w:right="-1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Ю.В. Любкина</w:t>
      </w:r>
      <w:r w:rsidR="00E61E52">
        <w:rPr>
          <w:sz w:val="28"/>
          <w:szCs w:val="28"/>
        </w:rPr>
        <w:t xml:space="preserve"> 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0208E0" w:rsidRDefault="000208E0" w:rsidP="007246AC"/>
    <w:p w:rsidR="00E61E52" w:rsidRDefault="00E61E52" w:rsidP="007246AC"/>
    <w:p w:rsidR="00DF4603" w:rsidRDefault="00DF4603" w:rsidP="007246AC"/>
    <w:p w:rsidR="00DF4603" w:rsidRDefault="00DF4603" w:rsidP="007246AC"/>
    <w:p w:rsidR="00DF4603" w:rsidRDefault="00DF4603" w:rsidP="007246AC"/>
    <w:p w:rsidR="000208E0" w:rsidRDefault="000208E0" w:rsidP="007246AC"/>
    <w:p w:rsidR="000208E0" w:rsidRDefault="000208E0" w:rsidP="007246AC"/>
    <w:p w:rsidR="000208E0" w:rsidRDefault="000208E0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B056FE" w:rsidRDefault="00B056FE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6D1C24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81851"/>
    <w:rsid w:val="00096D0F"/>
    <w:rsid w:val="000A027A"/>
    <w:rsid w:val="000C0CB0"/>
    <w:rsid w:val="00103CB1"/>
    <w:rsid w:val="00107264"/>
    <w:rsid w:val="00116671"/>
    <w:rsid w:val="00125F7B"/>
    <w:rsid w:val="001516B2"/>
    <w:rsid w:val="00155818"/>
    <w:rsid w:val="00173DB2"/>
    <w:rsid w:val="00182719"/>
    <w:rsid w:val="001B45D2"/>
    <w:rsid w:val="001B5DBB"/>
    <w:rsid w:val="001C7E4A"/>
    <w:rsid w:val="00253F5C"/>
    <w:rsid w:val="002961FC"/>
    <w:rsid w:val="002E3B06"/>
    <w:rsid w:val="002F3606"/>
    <w:rsid w:val="003033EE"/>
    <w:rsid w:val="00303E7A"/>
    <w:rsid w:val="00313B16"/>
    <w:rsid w:val="00335495"/>
    <w:rsid w:val="0035432E"/>
    <w:rsid w:val="00372E34"/>
    <w:rsid w:val="003740B1"/>
    <w:rsid w:val="003B254E"/>
    <w:rsid w:val="003D5A1F"/>
    <w:rsid w:val="003F37AC"/>
    <w:rsid w:val="003F52D9"/>
    <w:rsid w:val="0040490F"/>
    <w:rsid w:val="00422B5C"/>
    <w:rsid w:val="004776D3"/>
    <w:rsid w:val="004B0331"/>
    <w:rsid w:val="004C2267"/>
    <w:rsid w:val="004C4A35"/>
    <w:rsid w:val="004F480E"/>
    <w:rsid w:val="0050245A"/>
    <w:rsid w:val="00543201"/>
    <w:rsid w:val="00545580"/>
    <w:rsid w:val="0055244E"/>
    <w:rsid w:val="00552CC3"/>
    <w:rsid w:val="00585ECE"/>
    <w:rsid w:val="005B152F"/>
    <w:rsid w:val="005B1EFC"/>
    <w:rsid w:val="005D3A11"/>
    <w:rsid w:val="005D7B88"/>
    <w:rsid w:val="005E1261"/>
    <w:rsid w:val="00634528"/>
    <w:rsid w:val="00670B06"/>
    <w:rsid w:val="006D1C24"/>
    <w:rsid w:val="007246AC"/>
    <w:rsid w:val="007257FD"/>
    <w:rsid w:val="00752760"/>
    <w:rsid w:val="00752BB5"/>
    <w:rsid w:val="00762E03"/>
    <w:rsid w:val="00774249"/>
    <w:rsid w:val="007A3617"/>
    <w:rsid w:val="007B0AFE"/>
    <w:rsid w:val="007C4888"/>
    <w:rsid w:val="007E21DC"/>
    <w:rsid w:val="007F3F81"/>
    <w:rsid w:val="007F585A"/>
    <w:rsid w:val="0080020A"/>
    <w:rsid w:val="008540AC"/>
    <w:rsid w:val="0088019A"/>
    <w:rsid w:val="008F0751"/>
    <w:rsid w:val="009125E6"/>
    <w:rsid w:val="00914899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AE6FBA"/>
    <w:rsid w:val="00B056FE"/>
    <w:rsid w:val="00B07D3C"/>
    <w:rsid w:val="00B37EA7"/>
    <w:rsid w:val="00B43B57"/>
    <w:rsid w:val="00B56961"/>
    <w:rsid w:val="00B87E90"/>
    <w:rsid w:val="00B94CEE"/>
    <w:rsid w:val="00BA7C64"/>
    <w:rsid w:val="00BB223A"/>
    <w:rsid w:val="00BB483F"/>
    <w:rsid w:val="00C027E3"/>
    <w:rsid w:val="00C05C30"/>
    <w:rsid w:val="00C35883"/>
    <w:rsid w:val="00C45219"/>
    <w:rsid w:val="00C45297"/>
    <w:rsid w:val="00C605B0"/>
    <w:rsid w:val="00C75C3F"/>
    <w:rsid w:val="00C879D0"/>
    <w:rsid w:val="00CC678F"/>
    <w:rsid w:val="00D136CE"/>
    <w:rsid w:val="00D20B4A"/>
    <w:rsid w:val="00D25C5D"/>
    <w:rsid w:val="00D37078"/>
    <w:rsid w:val="00D76E07"/>
    <w:rsid w:val="00D807B4"/>
    <w:rsid w:val="00D93B0B"/>
    <w:rsid w:val="00DA3BD7"/>
    <w:rsid w:val="00DB5D54"/>
    <w:rsid w:val="00DF4603"/>
    <w:rsid w:val="00DF5974"/>
    <w:rsid w:val="00E06461"/>
    <w:rsid w:val="00E13AAE"/>
    <w:rsid w:val="00E20C6B"/>
    <w:rsid w:val="00E53927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1189"/>
    <w:rsid w:val="00F07F67"/>
    <w:rsid w:val="00F67FD9"/>
    <w:rsid w:val="00F96E76"/>
    <w:rsid w:val="00FD6406"/>
    <w:rsid w:val="00FD69D1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27AB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14</cp:revision>
  <cp:lastPrinted>2025-05-30T06:23:00Z</cp:lastPrinted>
  <dcterms:created xsi:type="dcterms:W3CDTF">2025-05-12T06:38:00Z</dcterms:created>
  <dcterms:modified xsi:type="dcterms:W3CDTF">2025-12-22T08:19:00Z</dcterms:modified>
</cp:coreProperties>
</file>