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E61E52">
        <w:rPr>
          <w:sz w:val="28"/>
        </w:rPr>
        <w:t>2</w:t>
      </w:r>
      <w:r w:rsidR="00F07F67">
        <w:rPr>
          <w:sz w:val="28"/>
        </w:rPr>
        <w:t>7</w:t>
      </w:r>
      <w:bookmarkStart w:id="0" w:name="_GoBack"/>
      <w:bookmarkEnd w:id="0"/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0208E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D51938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03056C">
        <w:rPr>
          <w:rFonts w:ascii="Times New Roman" w:hAnsi="Times New Roman"/>
          <w:sz w:val="28"/>
          <w:szCs w:val="28"/>
        </w:rPr>
        <w:t xml:space="preserve">Об утверждении Инструкции о порядке рассмотрения обращений граждан в </w:t>
      </w:r>
      <w:r w:rsidR="0003056C" w:rsidRPr="00326879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="00F67FD9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61E52">
        <w:rPr>
          <w:sz w:val="28"/>
          <w:szCs w:val="28"/>
        </w:rPr>
        <w:t>12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03056C">
        <w:rPr>
          <w:rFonts w:ascii="Times New Roman" w:hAnsi="Times New Roman"/>
          <w:sz w:val="28"/>
          <w:szCs w:val="28"/>
        </w:rPr>
        <w:t xml:space="preserve">Об утверждении Инструкции о порядке рассмотрения обращений граждан в </w:t>
      </w:r>
      <w:r w:rsidR="0003056C" w:rsidRPr="00326879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>внутренней политики и территориальной безопасности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03056C" w:rsidRDefault="0003056C" w:rsidP="0003056C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</w:t>
      </w:r>
      <w:proofErr w:type="spellStart"/>
      <w:r w:rsidRPr="00FE29F0">
        <w:rPr>
          <w:sz w:val="28"/>
          <w:szCs w:val="28"/>
        </w:rPr>
        <w:t>коррупциогенные</w:t>
      </w:r>
      <w:proofErr w:type="spellEnd"/>
      <w:r w:rsidRPr="00FE29F0">
        <w:rPr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FD6406" w:rsidRDefault="00FD6406" w:rsidP="00FD640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6054"/>
      </w:tblGrid>
      <w:tr w:rsidR="00FD6406" w:rsidRPr="00516912" w:rsidTr="00DF4603">
        <w:tc>
          <w:tcPr>
            <w:tcW w:w="548" w:type="dxa"/>
            <w:vMerge w:val="restart"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FD6406" w:rsidP="00A66B8D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п</w:t>
            </w:r>
            <w:r w:rsidRPr="000367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013F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013F8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 </w:t>
            </w:r>
            <w:r w:rsidR="00A66B8D">
              <w:rPr>
                <w:sz w:val="20"/>
                <w:szCs w:val="20"/>
              </w:rPr>
              <w:t>проекта инструкции о порядке рассмотрения обращений граждан</w:t>
            </w:r>
          </w:p>
        </w:tc>
      </w:tr>
      <w:tr w:rsidR="00FD6406" w:rsidRPr="00516912" w:rsidTr="00DF4603">
        <w:trPr>
          <w:trHeight w:val="543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FD6406" w:rsidRPr="00013F8A" w:rsidRDefault="00DF4603" w:rsidP="0092103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013F8A" w:rsidRPr="00013F8A">
              <w:rPr>
                <w:color w:val="000000" w:themeColor="text1"/>
                <w:sz w:val="20"/>
                <w:szCs w:val="20"/>
              </w:rPr>
              <w:t>Срок рассмотрения обращений, содержащих информацию о фактах возможных нарушений законодательства Российской Федерации в сфере миграции, не должен превышать 20 дней со дня их регистрации в администрации муниципального образования Ейский район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="00013F8A" w:rsidRPr="00013F8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9E2022" w:rsidP="009E2022">
            <w:pPr>
              <w:jc w:val="both"/>
              <w:rPr>
                <w:sz w:val="20"/>
                <w:szCs w:val="20"/>
              </w:rPr>
            </w:pPr>
            <w:r w:rsidRPr="009E2022">
              <w:rPr>
                <w:color w:val="000000" w:themeColor="text1"/>
                <w:sz w:val="20"/>
                <w:szCs w:val="20"/>
              </w:rPr>
              <w:t xml:space="preserve">нормативные коллизии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022">
              <w:rPr>
                <w:color w:val="000000" w:themeColor="text1"/>
                <w:sz w:val="20"/>
                <w:szCs w:val="20"/>
              </w:rPr>
              <w:t xml:space="preserve">согласно подпункта «и», пункта 3 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Pr="009E2022">
              <w:rPr>
                <w:color w:val="000000" w:themeColor="text1"/>
                <w:sz w:val="20"/>
                <w:szCs w:val="20"/>
              </w:rPr>
              <w:t>етодики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6054" w:type="dxa"/>
            <w:shd w:val="clear" w:color="auto" w:fill="auto"/>
          </w:tcPr>
          <w:p w:rsidR="009E2022" w:rsidRPr="009E2022" w:rsidRDefault="009E2022" w:rsidP="009E20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E2022">
              <w:rPr>
                <w:b/>
                <w:color w:val="000000" w:themeColor="text1"/>
                <w:sz w:val="20"/>
                <w:szCs w:val="20"/>
              </w:rPr>
              <w:t>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  <w:p w:rsidR="00545580" w:rsidRPr="00545580" w:rsidRDefault="00545580" w:rsidP="005455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45580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r w:rsidR="0050245A">
              <w:rPr>
                <w:rFonts w:eastAsiaTheme="minorHAnsi"/>
                <w:sz w:val="20"/>
                <w:szCs w:val="20"/>
                <w:lang w:eastAsia="en-US"/>
              </w:rPr>
              <w:t xml:space="preserve">проекте </w:t>
            </w:r>
            <w:r w:rsidRPr="00545580">
              <w:rPr>
                <w:rFonts w:eastAsiaTheme="minorHAnsi"/>
                <w:sz w:val="20"/>
                <w:szCs w:val="20"/>
                <w:lang w:eastAsia="en-US"/>
              </w:rPr>
              <w:t>инструкции имеется п.п.2.4.6.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4558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«п</w:t>
            </w:r>
            <w:r w:rsidRPr="00545580">
              <w:rPr>
                <w:rFonts w:eastAsiaTheme="minorHAnsi"/>
                <w:sz w:val="20"/>
                <w:szCs w:val="20"/>
                <w:lang w:eastAsia="en-US"/>
              </w:rPr>
              <w:t xml:space="preserve">исьменное обращение, поступившее в администрацию муниципального образования Ейский район и содержащее информацию о фактах возможных </w:t>
            </w:r>
            <w:r w:rsidRPr="0054558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нарушений законодательства Российской Федерации в сфере миграции, в течение 5 дней со дня регистрации направляется в Отдел МВД России по </w:t>
            </w:r>
            <w:proofErr w:type="spellStart"/>
            <w:r w:rsidRPr="00545580">
              <w:rPr>
                <w:rFonts w:eastAsiaTheme="minorHAnsi"/>
                <w:sz w:val="20"/>
                <w:szCs w:val="20"/>
                <w:lang w:eastAsia="en-US"/>
              </w:rPr>
              <w:t>Ейскому</w:t>
            </w:r>
            <w:proofErr w:type="spellEnd"/>
            <w:r w:rsidRPr="00545580">
              <w:rPr>
                <w:rFonts w:eastAsiaTheme="minorHAnsi"/>
                <w:sz w:val="20"/>
                <w:szCs w:val="20"/>
                <w:lang w:eastAsia="en-US"/>
              </w:rPr>
              <w:t xml:space="preserve"> району и Губернатору Краснодарского края с уведомлением заявителя о переадресации его обращения, за исключением случая, указанного в части 4 статьи 11 Федерального закона № 59-ФЗ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54558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FD6406" w:rsidRPr="00E5759B" w:rsidRDefault="00FD6406" w:rsidP="009210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D6406" w:rsidRPr="00516912" w:rsidTr="00DF4603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545580" w:rsidP="00A66B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</w:t>
            </w:r>
            <w:r w:rsidR="00A66B8D">
              <w:rPr>
                <w:sz w:val="20"/>
                <w:szCs w:val="20"/>
              </w:rPr>
              <w:t xml:space="preserve">противоречия, исключив п.2.3.2. </w:t>
            </w:r>
            <w:r w:rsidR="00C879D0">
              <w:rPr>
                <w:sz w:val="20"/>
                <w:szCs w:val="20"/>
              </w:rPr>
              <w:t>инструкции</w:t>
            </w:r>
          </w:p>
        </w:tc>
      </w:tr>
    </w:tbl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22" w:rsidRPr="00051217" w:rsidRDefault="009E2022" w:rsidP="009E20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9E2022" w:rsidRPr="009E2022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096D0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3131967</wp:posOffset>
            </wp:positionH>
            <wp:positionV relativeFrom="paragraph">
              <wp:posOffset>178484</wp:posOffset>
            </wp:positionV>
            <wp:extent cx="1242695" cy="5626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E52"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0208E0" w:rsidRDefault="000208E0" w:rsidP="007246AC"/>
    <w:p w:rsidR="00E61E52" w:rsidRDefault="00E61E52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DF4603" w:rsidRDefault="00DF4603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F07F6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53927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4B47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7</cp:revision>
  <cp:lastPrinted>2025-05-12T11:15:00Z</cp:lastPrinted>
  <dcterms:created xsi:type="dcterms:W3CDTF">2025-05-12T06:38:00Z</dcterms:created>
  <dcterms:modified xsi:type="dcterms:W3CDTF">2025-05-12T11:38:00Z</dcterms:modified>
</cp:coreProperties>
</file>