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99" w:rsidRPr="00164599" w:rsidRDefault="00164599" w:rsidP="00164599">
      <w:pPr>
        <w:tabs>
          <w:tab w:val="num" w:pos="0"/>
          <w:tab w:val="left" w:pos="972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6459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64599" w:rsidRPr="00164599" w:rsidRDefault="00164599" w:rsidP="00164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599">
        <w:rPr>
          <w:rFonts w:ascii="Times New Roman" w:hAnsi="Times New Roman" w:cs="Times New Roman"/>
          <w:b/>
          <w:sz w:val="28"/>
          <w:szCs w:val="28"/>
        </w:rPr>
        <w:t>о краевом месячнике «Безопасный труд» в организациях</w:t>
      </w:r>
    </w:p>
    <w:p w:rsidR="00164599" w:rsidRPr="00164599" w:rsidRDefault="00164599" w:rsidP="00164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599">
        <w:rPr>
          <w:rFonts w:ascii="Times New Roman" w:hAnsi="Times New Roman" w:cs="Times New Roman"/>
          <w:b/>
          <w:sz w:val="28"/>
          <w:szCs w:val="28"/>
        </w:rPr>
        <w:t xml:space="preserve">потребительской сферы муниципального образования </w:t>
      </w:r>
    </w:p>
    <w:p w:rsidR="00164599" w:rsidRPr="00164599" w:rsidRDefault="00164599" w:rsidP="001645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4599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Pr="0016459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64599" w:rsidRPr="00164599" w:rsidRDefault="00164599" w:rsidP="00164599">
      <w:pPr>
        <w:tabs>
          <w:tab w:val="left" w:pos="9180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4599" w:rsidRPr="00164599" w:rsidRDefault="00164599" w:rsidP="00164599">
      <w:pPr>
        <w:tabs>
          <w:tab w:val="num" w:pos="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459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64599" w:rsidRPr="00164599" w:rsidRDefault="00164599" w:rsidP="00164599">
      <w:pPr>
        <w:tabs>
          <w:tab w:val="left" w:pos="9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 xml:space="preserve">1.1. Краевой месячник </w:t>
      </w:r>
      <w:r w:rsidRPr="00164599">
        <w:rPr>
          <w:rFonts w:ascii="Times New Roman" w:hAnsi="Times New Roman" w:cs="Times New Roman"/>
          <w:bCs/>
          <w:sz w:val="28"/>
          <w:szCs w:val="28"/>
        </w:rPr>
        <w:t xml:space="preserve">«Безопасный труд» </w:t>
      </w:r>
      <w:r w:rsidRPr="00164599">
        <w:rPr>
          <w:rFonts w:ascii="Times New Roman" w:hAnsi="Times New Roman" w:cs="Times New Roman"/>
          <w:sz w:val="28"/>
          <w:szCs w:val="28"/>
        </w:rPr>
        <w:t>в организациях потребительской сферы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16459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164599">
        <w:rPr>
          <w:rFonts w:ascii="Times New Roman" w:hAnsi="Times New Roman" w:cs="Times New Roman"/>
          <w:sz w:val="28"/>
          <w:szCs w:val="28"/>
        </w:rPr>
        <w:t xml:space="preserve"> район (далее–Месячник) проводится в целях профилактики производственного травматизма и профессиональной заболеваемости, пропаганды охраны труда, улучшения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обеспечения работников сертифицированной </w:t>
      </w:r>
      <w:r w:rsidRPr="0016459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или декларированной спецодеждой, </w:t>
      </w:r>
      <w:proofErr w:type="spellStart"/>
      <w:r w:rsidRPr="00164599">
        <w:rPr>
          <w:rFonts w:ascii="Times New Roman" w:hAnsi="Times New Roman" w:cs="Times New Roman"/>
          <w:bCs/>
          <w:snapToGrid w:val="0"/>
          <w:sz w:val="28"/>
          <w:szCs w:val="28"/>
        </w:rPr>
        <w:t>спецобувью</w:t>
      </w:r>
      <w:proofErr w:type="spellEnd"/>
      <w:r w:rsidR="0017233A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и другими </w:t>
      </w:r>
      <w:r w:rsidRPr="00164599">
        <w:rPr>
          <w:rFonts w:ascii="Times New Roman" w:hAnsi="Times New Roman" w:cs="Times New Roman"/>
          <w:sz w:val="28"/>
          <w:szCs w:val="28"/>
        </w:rPr>
        <w:t>средствами индивидуальной защиты по установленным нормам, организации санитарно-бытового и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лечебно-профилактического обслуживания работников организаций отрасли.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1.2. Задачами Месячника являются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активизация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деятельности работо</w:t>
      </w:r>
      <w:r w:rsidRPr="00164599">
        <w:rPr>
          <w:rFonts w:ascii="Times New Roman" w:hAnsi="Times New Roman" w:cs="Times New Roman"/>
          <w:sz w:val="28"/>
          <w:szCs w:val="28"/>
        </w:rPr>
        <w:softHyphen/>
        <w:t>дателей, направленная на полную реализацию прав работников в области охраны труда, повышение ответственности руководителей и специалистов организаций отрасли за обеспечение здоровых и безопасных условий труда, обеспечение реализации принципов социального партнерства.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1.3. Достижение целей и задач Месячника обеспечивается согласованными действиями департамента потребительской сферы и регулирования рынка алкоголя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Краснодарского края, органов местного самоуправления, работодателей, объединений работодателей, а также профсоюзов, их объединений и иных уполномоченных работниками представительных органов по вопросам охраны труда.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1.4. Организационно-методическую подготовку Месячника осуществляет министерство труда и социального развития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и подведомственные министерству государственные казенные учреждения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Краснодарского края центры занятости населения в муниципальных образованиях (далее – ГКУ КК «ЦЗН») во взаимодействии с департаментом потребительской сферы и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регулирования рынка алкоголя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Краснодарского края, общественной организацией – Краснодарское краевое объединение организаций профсоюзов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(по согласованию), </w:t>
      </w:r>
      <w:r w:rsidRPr="00164599">
        <w:rPr>
          <w:rFonts w:ascii="Times New Roman" w:hAnsi="Times New Roman" w:cs="Times New Roman"/>
          <w:sz w:val="28"/>
        </w:rPr>
        <w:t>Ассоциацией «Объединение работодателей Кубани»</w:t>
      </w:r>
      <w:r w:rsidR="0017233A">
        <w:rPr>
          <w:rFonts w:ascii="Times New Roman" w:hAnsi="Times New Roman" w:cs="Times New Roman"/>
          <w:sz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(по согласованию),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органами местного самоуправления Краснодарского края,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районными (городскими)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советами отраслевых профсоюзов</w:t>
      </w:r>
      <w:r w:rsidRPr="001645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и объединений работодателей.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599">
        <w:rPr>
          <w:rFonts w:ascii="Times New Roman" w:hAnsi="Times New Roman" w:cs="Times New Roman"/>
          <w:b/>
          <w:sz w:val="28"/>
          <w:szCs w:val="28"/>
        </w:rPr>
        <w:t>2. Порядок проведения Месячника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 xml:space="preserve">2.1. Месячник проводится с 1 по 31 октября 2017 года. </w:t>
      </w:r>
    </w:p>
    <w:p w:rsidR="00164599" w:rsidRPr="00164599" w:rsidRDefault="00164599" w:rsidP="00164599">
      <w:pPr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2.2. В Месячнике принимают участие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организации потребительской сферы независимо от форм собственности и ведомственной подчиненности, зарегистрированные на территории Краснодарского края.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 xml:space="preserve">2.3. Для проведения Месячника в муниципальном образовании </w:t>
      </w:r>
      <w:proofErr w:type="spellStart"/>
      <w:r w:rsidRPr="0016459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164599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образуется рабочая группа (комиссия) по проведению Месячника, в состав которой включаются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представители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образования, ГКУ КК «ЦЗН», районного (городского) совета отраслевых профсоюзов</w:t>
      </w:r>
      <w:r w:rsidR="001723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и объединений работодателей. К участию в работе комиссии, по согласованию, могут быть привлечены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государственные инспекторы труда (по охране труда) Государственной инспекции труда в Краснодарском крае, а также представители территориальных отделов Управления Федеральной службы по надзору в сфере защиты прав потребителей и благополучия человека по Краснодарскому краю.</w:t>
      </w:r>
    </w:p>
    <w:p w:rsidR="00164599" w:rsidRPr="00164599" w:rsidRDefault="00164599" w:rsidP="00164599">
      <w:pPr>
        <w:suppressAutoHyphens w:val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Председатель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рабочей группы (председателем комиссии) является заместитель главы муниципального образования </w:t>
      </w:r>
      <w:proofErr w:type="spellStart"/>
      <w:r w:rsidRPr="0016459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164599">
        <w:rPr>
          <w:rFonts w:ascii="Times New Roman" w:hAnsi="Times New Roman" w:cs="Times New Roman"/>
          <w:sz w:val="28"/>
          <w:szCs w:val="28"/>
        </w:rPr>
        <w:t xml:space="preserve"> район, начальник управления сельского хозяйства и продовольствия М.Д. Дьяченко, заместителем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председателя - руководитель ГКУ КК «ЦЗН» А.В. Кононов. 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2.4. Рабочая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группа (комиссии) муниципального образования выполняет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следующие функции: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доводит до сведения работодателей информацию о проводимом Месячнике и условиях его проведения;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координирует работу по подготовке и проведению Месячника;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оказывает консультативную и методическую помощь организациям и их работникам;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подводит итоги Месячника в соответствии с разделом 3 настоящего положения.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2.5 Решение об участии в Месячнике работодателем принимается самостоятельно совместно с профсоюзным или иным уполномоченным работником организации представительным органом (при наличии).</w:t>
      </w:r>
    </w:p>
    <w:p w:rsidR="00164599" w:rsidRPr="00164599" w:rsidRDefault="00164599" w:rsidP="00164599">
      <w:pPr>
        <w:widowControl/>
        <w:tabs>
          <w:tab w:val="left" w:pos="-3240"/>
        </w:tabs>
        <w:suppressAutoHyphens w:val="0"/>
        <w:autoSpaceDE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Для участия в месячнике работодатель в организации создает рабочую группу, в состав которой включаются представители</w:t>
      </w:r>
      <w:r w:rsidR="001723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работодателя, специалист службы охраны труда, члены комитета (комиссии) по охране труда, </w:t>
      </w:r>
      <w:proofErr w:type="spellStart"/>
      <w:r w:rsidRPr="001645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профсоюного</w:t>
      </w:r>
      <w:proofErr w:type="spellEnd"/>
      <w:r w:rsidRPr="001645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комитета или иного уполномоченного работниками представительного органа (при наличии), уполномоченные (доверенные) лица по охране труда.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2.7. Рабочая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 xml:space="preserve"> группа (комиссии) организации</w:t>
      </w:r>
      <w:r w:rsidR="00172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>выполняет следующие функции: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</w:rPr>
        <w:t>проведение проверок по вопросам соблюдения работниками</w:t>
      </w:r>
      <w:r w:rsidR="00172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>технологической, трудовой дисциплины</w:t>
      </w:r>
      <w:r w:rsidR="00172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72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>культуры производства, требований норм и правил охраны труда, в том числе;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</w:rPr>
        <w:t>исполнение</w:t>
      </w:r>
      <w:r w:rsidR="00172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>предписаний органов государственного контроля (надзора);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</w:rPr>
        <w:t>обеспечение персонала сертифицированной или</w:t>
      </w:r>
      <w:r w:rsidR="00172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color w:val="000000"/>
          <w:sz w:val="28"/>
          <w:szCs w:val="28"/>
        </w:rPr>
        <w:t xml:space="preserve">декларированной спецодеждой, </w:t>
      </w:r>
      <w:proofErr w:type="spellStart"/>
      <w:r w:rsidRPr="00164599">
        <w:rPr>
          <w:rFonts w:ascii="Times New Roman" w:hAnsi="Times New Roman" w:cs="Times New Roman"/>
          <w:color w:val="000000"/>
          <w:sz w:val="28"/>
          <w:szCs w:val="28"/>
        </w:rPr>
        <w:t>спецобувью</w:t>
      </w:r>
      <w:proofErr w:type="spellEnd"/>
      <w:r w:rsidRPr="00164599">
        <w:rPr>
          <w:rFonts w:ascii="Times New Roman" w:hAnsi="Times New Roman" w:cs="Times New Roman"/>
          <w:color w:val="000000"/>
          <w:sz w:val="28"/>
          <w:szCs w:val="28"/>
        </w:rPr>
        <w:t xml:space="preserve"> и другими средствами индивидуальной защиты, правильностью их учета и применения, своевременность стирки и ремонта;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</w:rPr>
        <w:t>проведения стажировки на рабочем месте, обучения оказанию первой помощи пострадавшим при несчастных случаях на производстве;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</w:rPr>
        <w:t>проведение специальной оценки условий труда;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59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выполнения мероприятий по результатам проведенной специальной оценки условий труда;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наличие и исправность блокировочных и предохранительных устройств на оборудовании и механизмах;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состояние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переносных лестниц, их учета, хранения, эксплуатации и испытания;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проведение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9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164599"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водителей;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организацию технического обслуживания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автомобилей и прицепов перед выездом их в рейс, по возвращении с рейса;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состояние транспортных средств, предназначенных для перевозки людей;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соблюдение правил перевозки людей на грузовых автомобилях;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соблюдение режима труда и отдыха водителей;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наличие наглядной агитации по охране труда, кабинетов (уголков) по охране труда, их оснащенность;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наличие наглядной агитации по охране труда, кабинетов (уголков) по охране труда, их оснащенность;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 xml:space="preserve">наличие организационно-распорядительной документации по вопросам охраны труда, системы управления </w:t>
      </w:r>
      <w:proofErr w:type="gramStart"/>
      <w:r w:rsidRPr="00164599">
        <w:rPr>
          <w:rFonts w:ascii="Times New Roman" w:hAnsi="Times New Roman" w:cs="Times New Roman"/>
          <w:sz w:val="28"/>
          <w:szCs w:val="28"/>
        </w:rPr>
        <w:t>охраной труда</w:t>
      </w:r>
      <w:proofErr w:type="gramEnd"/>
      <w:r w:rsidRPr="00164599">
        <w:rPr>
          <w:rFonts w:ascii="Times New Roman" w:hAnsi="Times New Roman" w:cs="Times New Roman"/>
          <w:sz w:val="28"/>
          <w:szCs w:val="28"/>
        </w:rPr>
        <w:t xml:space="preserve"> разработанной на основании рекомендаций Министерства труда и социальной защиты Российской Федерации, приказов о назначении ответственных лиц по охране труда, о создании комиссий по обучению и проверке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знаний требований охраны труда, состоянию зданий и сооружений и т.д.;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проведение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обучения и проверки знаний требований охраны труда руководителей и специалистов, а также работников, занятых на работах с вредными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и (или) опасными условиями труда;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своевременность и полноту прохождения периодических медицинских осмотров работников, занятых на работах с вредными и (или) опасными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условиями труда;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 xml:space="preserve"> наличие и выполнение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раздела "Охрана труда"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коллективного договора или соглашения по охране труда;</w:t>
      </w:r>
    </w:p>
    <w:p w:rsidR="00164599" w:rsidRPr="00164599" w:rsidRDefault="0017233A" w:rsidP="00164599">
      <w:pPr>
        <w:tabs>
          <w:tab w:val="left" w:pos="9180"/>
        </w:tabs>
        <w:suppressAutoHyphens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 xml:space="preserve">регулярное (ежемесячное с численностью работающих более 50 человек, ежеквартальное – менее 50 человек) проведение Дня охраны труда; 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проведение всех видов инструктажей по охране труда;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состояние и соблюдение сроков прохождения технического освидетельствования оборудования и механизмов;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наличие и функционирование комитетов (комиссий) по охране труда, созданных на паритетной основе;</w:t>
      </w:r>
    </w:p>
    <w:p w:rsidR="00164599" w:rsidRPr="00164599" w:rsidRDefault="00164599" w:rsidP="00164599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предоставление отчетности по охране труда в ГКУ КК «ЦЗН» в соответствии с постановлением главы администрации (губернатора) Краснодарского края от 21 декабря 2012 года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№ 1591 «О формах и сроках представления информации о состоянии условий и охраны труда в организациях Краснодарского края». </w:t>
      </w:r>
    </w:p>
    <w:p w:rsidR="00164599" w:rsidRPr="00164599" w:rsidRDefault="00164599" w:rsidP="00164599">
      <w:pPr>
        <w:tabs>
          <w:tab w:val="left" w:pos="9639"/>
        </w:tabs>
        <w:suppressAutoHyphens w:val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4599">
        <w:rPr>
          <w:rFonts w:ascii="Times New Roman" w:hAnsi="Times New Roman" w:cs="Times New Roman"/>
          <w:snapToGrid w:val="0"/>
          <w:sz w:val="28"/>
          <w:szCs w:val="28"/>
        </w:rPr>
        <w:t>2.8. Выявленные рабочей группой</w:t>
      </w:r>
      <w:r w:rsidR="0017233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64599">
        <w:rPr>
          <w:rFonts w:ascii="Times New Roman" w:hAnsi="Times New Roman" w:cs="Times New Roman"/>
          <w:snapToGrid w:val="0"/>
          <w:sz w:val="28"/>
          <w:szCs w:val="28"/>
        </w:rPr>
        <w:t xml:space="preserve">в ходе проведения проверки нарушения в области охраны труда устраняются в оперативном </w:t>
      </w:r>
      <w:r w:rsidRPr="00164599">
        <w:rPr>
          <w:rFonts w:ascii="Times New Roman" w:hAnsi="Times New Roman" w:cs="Times New Roman"/>
          <w:snapToGrid w:val="0"/>
          <w:sz w:val="28"/>
          <w:szCs w:val="28"/>
        </w:rPr>
        <w:lastRenderedPageBreak/>
        <w:t>порядке или составляется план мероприятий по их устранению с указанием конкретных исполнителей и сроков выполнения.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lef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599" w:rsidRPr="00164599" w:rsidRDefault="00164599" w:rsidP="00164599">
      <w:pPr>
        <w:tabs>
          <w:tab w:val="left" w:pos="9180"/>
        </w:tabs>
        <w:suppressAutoHyphens w:val="0"/>
        <w:ind w:firstLine="9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599">
        <w:rPr>
          <w:rFonts w:ascii="Times New Roman" w:hAnsi="Times New Roman" w:cs="Times New Roman"/>
          <w:b/>
          <w:sz w:val="28"/>
          <w:szCs w:val="28"/>
        </w:rPr>
        <w:t>3. Подведение итогов Месячника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3.1. Организации, принявшие участие в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Месячнике, направляют заполненную форму отчетности (приложение № 1) в ГКУ КК «ЦЗН»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3.2. ГКУ КК «ЦЗН» совместно с членами рабочей группы анализируют полученные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материалы,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оформляют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сводную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информацию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результатах Месячника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по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муниципальному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образованию (приложение №2). Доводит итоговую информацию о проделанной работе на очередном заседании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муниципальной межведомственной комиссии (координационном совете) по охране труда.</w:t>
      </w:r>
    </w:p>
    <w:p w:rsidR="00164599" w:rsidRPr="00164599" w:rsidRDefault="0017233A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3.3. Сводная информация о результатах Месячника по муниципальному образованию (приложение № 2)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аналитическая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записка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положительными примерами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и выявленными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napToGrid w:val="0"/>
          <w:sz w:val="28"/>
          <w:szCs w:val="28"/>
        </w:rPr>
        <w:t>недостатками,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napToGrid w:val="0"/>
          <w:sz w:val="28"/>
          <w:szCs w:val="28"/>
        </w:rPr>
        <w:t xml:space="preserve">которые ухудшили сводные показатели по муниципальному образованию с указанием конкретных организаций, </w:t>
      </w:r>
      <w:r w:rsidR="00164599" w:rsidRPr="00164599">
        <w:rPr>
          <w:rFonts w:ascii="Times New Roman" w:hAnsi="Times New Roman" w:cs="Times New Roman"/>
          <w:sz w:val="28"/>
          <w:szCs w:val="28"/>
        </w:rPr>
        <w:t>направляются ГКУ КК «ЦЗН» в министерство труда и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99" w:rsidRPr="00164599">
        <w:rPr>
          <w:rFonts w:ascii="Times New Roman" w:hAnsi="Times New Roman" w:cs="Times New Roman"/>
          <w:sz w:val="28"/>
          <w:szCs w:val="28"/>
        </w:rPr>
        <w:t>до 13 ноября 2017 года.</w:t>
      </w:r>
      <w:r w:rsidR="00164599" w:rsidRPr="0016459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64599" w:rsidRPr="00164599" w:rsidRDefault="00164599" w:rsidP="00164599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3.4. Министерство труда и социального развития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сводит и обрабатывает полученные материалы. Аналитическую информацию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направляет заместителю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главы администрации (губернатора) Краснодарского края, курирующему вопросы</w:t>
      </w:r>
      <w:r w:rsidRPr="00164599">
        <w:rPr>
          <w:rFonts w:ascii="Times New Roman" w:hAnsi="Times New Roman" w:cs="Times New Roman"/>
          <w:bCs/>
          <w:sz w:val="28"/>
          <w:szCs w:val="28"/>
        </w:rPr>
        <w:t xml:space="preserve"> потребительской сферы,</w:t>
      </w:r>
      <w:r w:rsidRPr="00164599">
        <w:rPr>
          <w:rFonts w:ascii="Times New Roman" w:hAnsi="Times New Roman" w:cs="Times New Roman"/>
          <w:sz w:val="28"/>
          <w:szCs w:val="28"/>
        </w:rPr>
        <w:t xml:space="preserve"> отраслевому департаменту, главам муниципальных образований Краснодарского края, ГКУ КК «ЦЗН», Краснодарскому краевому профобъединению. </w:t>
      </w:r>
    </w:p>
    <w:p w:rsidR="00164599" w:rsidRPr="00164599" w:rsidRDefault="00164599" w:rsidP="00164599">
      <w:pPr>
        <w:tabs>
          <w:tab w:val="left" w:pos="918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3.5. Департамент потребительской сферы и регулирования рынка алкоголя Краснодарского края,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органы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местного самоуправления Краснодарского края, профсоюзы, их объединения, а также объединения работодателей в пределах своей компетенции принимают меры по устранению выявленных в ходе Месячника нарушений. Организуют работу по внедрению передового опыта в области безопасности и охраны труда, рассматривают возможность поощрения коллективов, принявших активное участие в Месячнике и имеющих высокие показатели состояния условий и охраны труда.</w:t>
      </w:r>
    </w:p>
    <w:p w:rsidR="00164599" w:rsidRPr="00164599" w:rsidRDefault="00164599" w:rsidP="00164599">
      <w:pPr>
        <w:tabs>
          <w:tab w:val="left" w:pos="-72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>3.6.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Итоги Месячника в организациях потребительской сферы заслушиваются на заседании краевой межведомственной комиссии по охране труда, принятое решение доводится до заинтересованных сторон;</w:t>
      </w:r>
    </w:p>
    <w:p w:rsidR="00164599" w:rsidRPr="00164599" w:rsidRDefault="00164599" w:rsidP="00164599">
      <w:pPr>
        <w:tabs>
          <w:tab w:val="left" w:pos="-720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99">
        <w:rPr>
          <w:rFonts w:ascii="Times New Roman" w:hAnsi="Times New Roman" w:cs="Times New Roman"/>
          <w:sz w:val="28"/>
          <w:szCs w:val="28"/>
        </w:rPr>
        <w:t xml:space="preserve"> освещаются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в краевых и муниципальных средствах массовой информации, в том числе Краснодарского краевого профобъединения, на сайтах органов местного самоуправления, департамента потребительской сферы и регулирования рынка алкоголя Краснодарского края и министерства труда и социального развития</w:t>
      </w:r>
      <w:r w:rsidR="0017233A">
        <w:rPr>
          <w:rFonts w:ascii="Times New Roman" w:hAnsi="Times New Roman" w:cs="Times New Roman"/>
          <w:sz w:val="28"/>
          <w:szCs w:val="28"/>
        </w:rPr>
        <w:t xml:space="preserve"> </w:t>
      </w:r>
      <w:r w:rsidRPr="00164599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326390" w:rsidRDefault="0032639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47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326390" w:rsidRPr="00326390" w:rsidTr="00571D43">
        <w:trPr>
          <w:trHeight w:val="1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ind w:left="-426" w:right="-7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 Положению о краевом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месячнике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«Безопасный труд» в организациях </w:t>
            </w:r>
          </w:p>
          <w:p w:rsidR="00326390" w:rsidRPr="00326390" w:rsidRDefault="00326390" w:rsidP="003C481A">
            <w:pPr>
              <w:widowControl/>
              <w:suppressAutoHyphens w:val="0"/>
              <w:autoSpaceDE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потребительской сферы </w:t>
            </w:r>
          </w:p>
        </w:tc>
      </w:tr>
    </w:tbl>
    <w:p w:rsidR="00326390" w:rsidRPr="00326390" w:rsidRDefault="00326390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17233A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26390" w:rsidRPr="00326390" w:rsidRDefault="0017233A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26390" w:rsidRPr="00326390" w:rsidRDefault="0017233A" w:rsidP="00326390">
      <w:pPr>
        <w:keepNext/>
        <w:widowControl/>
        <w:suppressAutoHyphens w:val="0"/>
        <w:autoSpaceDE/>
        <w:ind w:left="3540"/>
        <w:outlineLvl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390" w:rsidRPr="00326390">
        <w:rPr>
          <w:rFonts w:ascii="Times New Roman" w:hAnsi="Times New Roman" w:cs="Times New Roman"/>
          <w:b/>
          <w:sz w:val="26"/>
          <w:szCs w:val="26"/>
          <w:lang w:eastAsia="ru-RU"/>
        </w:rPr>
        <w:t>ОТЧЕТ</w:t>
      </w:r>
    </w:p>
    <w:p w:rsidR="00326390" w:rsidRPr="00326390" w:rsidRDefault="00326390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26390">
        <w:rPr>
          <w:rFonts w:ascii="Times New Roman" w:hAnsi="Times New Roman" w:cs="Times New Roman"/>
          <w:b/>
          <w:sz w:val="26"/>
          <w:szCs w:val="26"/>
          <w:lang w:eastAsia="ru-RU"/>
        </w:rPr>
        <w:t>о состоянии условий и охраны труда в организации</w:t>
      </w:r>
    </w:p>
    <w:p w:rsidR="00326390" w:rsidRPr="00326390" w:rsidRDefault="00326390" w:rsidP="00326390">
      <w:pPr>
        <w:widowControl/>
        <w:suppressAutoHyphens w:val="0"/>
        <w:autoSpaceDE/>
        <w:ind w:left="142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26390">
        <w:rPr>
          <w:rFonts w:ascii="Times New Roman" w:hAnsi="Times New Roman" w:cs="Times New Roman"/>
          <w:b/>
          <w:sz w:val="26"/>
          <w:szCs w:val="26"/>
          <w:lang w:eastAsia="ru-RU"/>
        </w:rPr>
        <w:t>потребительской сферы</w:t>
      </w:r>
    </w:p>
    <w:p w:rsidR="00326390" w:rsidRPr="00326390" w:rsidRDefault="00326390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26390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="003C481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22"/>
          <w:szCs w:val="22"/>
          <w:lang w:eastAsia="ru-RU"/>
        </w:rPr>
        <w:t>(полное наименование организации)</w:t>
      </w:r>
    </w:p>
    <w:p w:rsidR="00326390" w:rsidRPr="00326390" w:rsidRDefault="00326390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326390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="003C481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22"/>
          <w:szCs w:val="22"/>
          <w:lang w:eastAsia="ru-RU"/>
        </w:rPr>
        <w:t>(вид экономической</w:t>
      </w:r>
      <w:r w:rsidR="0017233A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22"/>
          <w:szCs w:val="22"/>
          <w:lang w:eastAsia="ru-RU"/>
        </w:rPr>
        <w:t>деятельности по ОКВЭД, почтовый индекс и адрес)</w:t>
      </w:r>
    </w:p>
    <w:p w:rsidR="00326390" w:rsidRPr="00326390" w:rsidRDefault="00326390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26390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26390" w:rsidRPr="00326390" w:rsidRDefault="00326390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326390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326390" w:rsidRPr="00326390" w:rsidRDefault="00326390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326390">
        <w:rPr>
          <w:rFonts w:ascii="Times New Roman" w:hAnsi="Times New Roman" w:cs="Times New Roman"/>
          <w:sz w:val="22"/>
          <w:szCs w:val="22"/>
          <w:lang w:eastAsia="ru-RU"/>
        </w:rPr>
        <w:t>(Ф.И.О. руководителя, служебный телефон)</w:t>
      </w:r>
    </w:p>
    <w:p w:rsidR="003C481A" w:rsidRPr="00326390" w:rsidRDefault="003C481A" w:rsidP="0032639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7280"/>
        <w:gridCol w:w="1403"/>
      </w:tblGrid>
      <w:tr w:rsidR="00326390" w:rsidRPr="00326390" w:rsidTr="003C481A">
        <w:trPr>
          <w:trHeight w:val="573"/>
        </w:trPr>
        <w:tc>
          <w:tcPr>
            <w:tcW w:w="625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6390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280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6390">
              <w:rPr>
                <w:rFonts w:ascii="Times New Roman" w:hAnsi="Times New Roman" w:cs="Times New Roman"/>
                <w:lang w:eastAsia="ru-RU"/>
              </w:rPr>
              <w:t>Наименование мероприятий</w:t>
            </w:r>
          </w:p>
        </w:tc>
        <w:tc>
          <w:tcPr>
            <w:tcW w:w="1403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6390">
              <w:rPr>
                <w:rFonts w:ascii="Times New Roman" w:hAnsi="Times New Roman" w:cs="Times New Roman"/>
                <w:lang w:eastAsia="ru-RU"/>
              </w:rPr>
              <w:t>9</w:t>
            </w:r>
            <w:r w:rsidR="0017233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lang w:eastAsia="ru-RU"/>
              </w:rPr>
              <w:t>месяцев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6390">
              <w:rPr>
                <w:rFonts w:ascii="Times New Roman" w:hAnsi="Times New Roman" w:cs="Times New Roman"/>
                <w:lang w:eastAsia="ru-RU"/>
              </w:rPr>
              <w:t>2017 года</w:t>
            </w:r>
          </w:p>
        </w:tc>
      </w:tr>
      <w:tr w:rsidR="00326390" w:rsidRPr="00326390" w:rsidTr="00571D43">
        <w:trPr>
          <w:trHeight w:val="210"/>
        </w:trPr>
        <w:tc>
          <w:tcPr>
            <w:tcW w:w="625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80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3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326390" w:rsidRPr="00326390" w:rsidTr="003C481A">
        <w:trPr>
          <w:trHeight w:val="6922"/>
        </w:trPr>
        <w:tc>
          <w:tcPr>
            <w:tcW w:w="625" w:type="dxa"/>
          </w:tcPr>
          <w:p w:rsidR="00326390" w:rsidRPr="00326390" w:rsidRDefault="00AD1F3F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80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работников, всего чел.: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женщин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lang w:eastAsia="en-US"/>
              </w:rPr>
              <w:t>- из общей численности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lang w:eastAsia="en-US"/>
              </w:rPr>
              <w:t xml:space="preserve">занято </w:t>
            </w:r>
            <w:r w:rsidR="00326390" w:rsidRPr="00326390">
              <w:rPr>
                <w:rFonts w:ascii="Times New Roman" w:hAnsi="Times New Roman" w:cs="Times New Roman"/>
                <w:lang w:eastAsia="ru-RU"/>
              </w:rPr>
              <w:t>во вредных и (или) опасных условиях труда</w:t>
            </w:r>
            <w:r w:rsidR="00326390" w:rsidRPr="00326390">
              <w:rPr>
                <w:rFonts w:ascii="Times New Roman" w:hAnsi="Times New Roman" w:cs="Times New Roman"/>
                <w:lang w:eastAsia="en-US"/>
              </w:rPr>
              <w:t>, всего чел.: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женщин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Число пострадавших при несчастных случаях с утратой трудоспособности на 1 рабочий день и более, всего чел.: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женщин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Число пострадавших при несчастных случаях со смертельным исходом, всего чел.: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женщин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Число человеко-дней нетрудоспособности пострадавших с утратой трудоспособности на 1 рабочий день и более, всего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фактического финансирования мероприятий по улучшению условий и охраны труда в расчете на одного работающего (руб.) 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приказа руководителя о проведении месячника «Безопасный труд»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(да, нет)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системы управления охраной труда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(да, нет)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комитета (комиссии) по охране труда (да, нет)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03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6390" w:rsidRPr="00326390" w:rsidTr="00571D43">
        <w:trPr>
          <w:trHeight w:val="126"/>
        </w:trPr>
        <w:tc>
          <w:tcPr>
            <w:tcW w:w="625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80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3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326390" w:rsidRPr="00326390" w:rsidTr="001C2FEC">
        <w:trPr>
          <w:trHeight w:val="131"/>
        </w:trPr>
        <w:tc>
          <w:tcPr>
            <w:tcW w:w="625" w:type="dxa"/>
          </w:tcPr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D1F3F" w:rsidRDefault="00AD1F3F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D1F3F" w:rsidRDefault="00AD1F3F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7280" w:type="dxa"/>
          </w:tcPr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уполномоченного (доверенного) лица по охране труда (да, нет)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ind w:left="252" w:hanging="252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кабинета, уголка по охране труда (да, нет)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службы (специалиста) по охране труда (при численности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работающих более 50 чел.) (да, нет)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приказа о возложении обязанностей по охране труда на другого специалиста (при численности работающих менее 50 чел.) (да, нет)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или договора на оказание услуг по охране труда (да, нет)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инструкций по охране труда на виды работ и профессии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(в процентах к общему числу видов работ и профессий) 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Проведение всех видов инструктажей по охране труда в установленные сроки (да, нет) 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раздела «Охрана труда» в коллективном договоре или соглашении по охране труда (да, нет)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раздела «Охрана труда» в коллективном договоре или соглашении по охране труда (процент выполненных мероприятий)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Регулярное (ежемесячное с численностью работающих более 50 человек или ежеквартальное – менее 50 человек) проведение Дня охраны труда, подтвержденное соответствующими документами (да, нет)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Обеспеченность работников организации СИЗ (в процентах от нормативной потребности)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Обеспеченность санитарно-бытовыми помещениями и устройствами работников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 процентах от нормативной потребности)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Обучение по охране труда: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количество руководителей и специалистов, подлежащих обучению, всего чел.: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из них обучено, чел.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количество рабочих, занятых </w:t>
            </w:r>
            <w:r w:rsidR="00326390" w:rsidRPr="00326390">
              <w:rPr>
                <w:rFonts w:ascii="Times New Roman" w:hAnsi="Times New Roman" w:cs="Times New Roman"/>
                <w:lang w:eastAsia="ru-RU"/>
              </w:rPr>
              <w:t>во вредных и (или) опасных условиях труда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всего чел.: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-из них обучено, чел.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количество членов совместных комитетов (комиссий) по охране труда, всего чел.: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из них обучено, чел.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Обучение по охране труда при организации и проведении работ на высоте: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-количество работников подлежащих обучению на 1 группу по безопасности работ на высоте, всего, чел.: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из них обучено, чел.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количество работников подлежащих обучению на 2 группу по безопасности работ на высоте, всего, чел.: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из них обучено, чел.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количество работников подлежащих обучению на 3 группу по безопасности работ на высоте, всего, чел.: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из них обучено, чел.</w:t>
            </w:r>
          </w:p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403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D1F3F" w:rsidRDefault="00AD1F3F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D1F3F" w:rsidRDefault="00AD1F3F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C481A" w:rsidRDefault="003C481A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1C2FEC" w:rsidRDefault="001C2FEC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</w:tr>
      <w:tr w:rsidR="00326390" w:rsidRPr="00326390" w:rsidTr="00571D43">
        <w:trPr>
          <w:trHeight w:val="888"/>
        </w:trPr>
        <w:tc>
          <w:tcPr>
            <w:tcW w:w="625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16.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80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Специальная оценка условий труда рабочих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 (аттестация рабочих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 по условиям труда) на текущий период: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общее количество рабочих мест </w:t>
            </w:r>
          </w:p>
          <w:p w:rsidR="00326390" w:rsidRPr="00326390" w:rsidRDefault="0017233A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количество рабочих мест, на которых проведена специальная оценка условий труда (аттестация рабочих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26390"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 по условиям труда)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периодических медосмотров работников, занятых на работах с вредными и (или) опасными условиями труда (в процентах к общему числу работников, подлежащих осмотрам)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безопасности при эксплуатации оборудования: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соблюдение сроков проведения технического 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освидетельствования оборудования и механизмов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записями в журналах (в процентах от общего числа оборудования, подлежащего освидетельствованию)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наличие нарушений по электробезопасности (не своевременная проверка защитного заземления, отсутствие штатного электротехнического персонала, отсутствие обучения </w:t>
            </w:r>
            <w:proofErr w:type="spellStart"/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неэлектротехнического</w:t>
            </w:r>
            <w:proofErr w:type="spellEnd"/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персонала) (да, нет)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выявленных рабочей группой (комиссией) в ходе Месячника недостатков по охране труда, всего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устраненных</w:t>
            </w:r>
            <w:r w:rsidR="001723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ходе Месячника выявленных недостатков, всего</w:t>
            </w:r>
          </w:p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2639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Предоставление отчетности по охране труда в ГКУ КК «ЦЗН» в соответствии с постановлением главы администрации (губернатора) Краснодарского края от 21.12.2012 № 1591(в редакции постановления от 29 сентября 2014 года № 1038) (да, нет)</w:t>
            </w:r>
          </w:p>
        </w:tc>
        <w:tc>
          <w:tcPr>
            <w:tcW w:w="1403" w:type="dxa"/>
          </w:tcPr>
          <w:p w:rsidR="00326390" w:rsidRPr="00326390" w:rsidRDefault="00326390" w:rsidP="0032639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26390" w:rsidRPr="00326390" w:rsidRDefault="00326390" w:rsidP="00326390">
      <w:pPr>
        <w:widowControl/>
        <w:suppressAutoHyphens w:val="0"/>
        <w:autoSpaceDE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26390" w:rsidRPr="00326390" w:rsidRDefault="00326390" w:rsidP="00326390">
      <w:pPr>
        <w:widowControl/>
        <w:suppressAutoHyphens w:val="0"/>
        <w:autoSpaceDE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26390">
        <w:rPr>
          <w:rFonts w:ascii="Times New Roman" w:hAnsi="Times New Roman" w:cs="Times New Roman"/>
          <w:sz w:val="26"/>
          <w:szCs w:val="26"/>
          <w:lang w:eastAsia="ru-RU"/>
        </w:rPr>
        <w:t>Руководитель организации</w:t>
      </w:r>
      <w:r w:rsidR="001723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26"/>
          <w:szCs w:val="26"/>
          <w:lang w:eastAsia="ru-RU"/>
        </w:rPr>
        <w:t>______________________</w:t>
      </w:r>
      <w:r w:rsidR="001723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26"/>
          <w:szCs w:val="26"/>
          <w:lang w:eastAsia="ru-RU"/>
        </w:rPr>
        <w:t>___________________</w:t>
      </w:r>
    </w:p>
    <w:p w:rsidR="00326390" w:rsidRPr="00326390" w:rsidRDefault="00326390" w:rsidP="00326390">
      <w:pPr>
        <w:widowControl/>
        <w:tabs>
          <w:tab w:val="center" w:pos="4819"/>
          <w:tab w:val="left" w:pos="7005"/>
        </w:tabs>
        <w:suppressAutoHyphens w:val="0"/>
        <w:autoSpaceDE/>
        <w:ind w:left="-142"/>
        <w:rPr>
          <w:rFonts w:ascii="Times New Roman" w:hAnsi="Times New Roman" w:cs="Times New Roman"/>
          <w:sz w:val="16"/>
          <w:szCs w:val="16"/>
          <w:lang w:eastAsia="ru-RU"/>
        </w:rPr>
      </w:pPr>
      <w:r w:rsidRPr="0032639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7233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16"/>
          <w:szCs w:val="16"/>
          <w:lang w:eastAsia="ru-RU"/>
        </w:rPr>
        <w:t>(подпись)</w:t>
      </w:r>
      <w:r w:rsidR="0017233A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326390">
        <w:rPr>
          <w:rFonts w:ascii="Times New Roman" w:hAnsi="Times New Roman" w:cs="Times New Roman"/>
          <w:sz w:val="16"/>
          <w:szCs w:val="16"/>
          <w:lang w:eastAsia="ru-RU"/>
        </w:rPr>
        <w:t>(Ф.И.О)</w:t>
      </w:r>
    </w:p>
    <w:p w:rsidR="00326390" w:rsidRPr="00326390" w:rsidRDefault="00326390" w:rsidP="00326390">
      <w:pPr>
        <w:widowControl/>
        <w:tabs>
          <w:tab w:val="center" w:pos="4819"/>
          <w:tab w:val="left" w:pos="7005"/>
        </w:tabs>
        <w:suppressAutoHyphens w:val="0"/>
        <w:autoSpaceDE/>
        <w:ind w:left="-142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26390" w:rsidRDefault="00326390">
      <w:pPr>
        <w:rPr>
          <w:rFonts w:ascii="Times New Roman" w:hAnsi="Times New Roman" w:cs="Times New Roman"/>
        </w:rPr>
      </w:pPr>
    </w:p>
    <w:sectPr w:rsidR="00326390" w:rsidSect="0018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6D"/>
    <w:rsid w:val="000C2448"/>
    <w:rsid w:val="00117CC3"/>
    <w:rsid w:val="00164599"/>
    <w:rsid w:val="0017233A"/>
    <w:rsid w:val="001810C1"/>
    <w:rsid w:val="001C2FEC"/>
    <w:rsid w:val="001D606D"/>
    <w:rsid w:val="001E59C3"/>
    <w:rsid w:val="00326390"/>
    <w:rsid w:val="003C481A"/>
    <w:rsid w:val="004E763D"/>
    <w:rsid w:val="00573DAC"/>
    <w:rsid w:val="005C7D90"/>
    <w:rsid w:val="006553A5"/>
    <w:rsid w:val="00696A1E"/>
    <w:rsid w:val="006A4AF3"/>
    <w:rsid w:val="006E0353"/>
    <w:rsid w:val="007071FD"/>
    <w:rsid w:val="007F064F"/>
    <w:rsid w:val="00851D90"/>
    <w:rsid w:val="008844A0"/>
    <w:rsid w:val="008A33F2"/>
    <w:rsid w:val="008D2CC4"/>
    <w:rsid w:val="008F2AF5"/>
    <w:rsid w:val="008F730E"/>
    <w:rsid w:val="00913406"/>
    <w:rsid w:val="00994E1E"/>
    <w:rsid w:val="00A60DC7"/>
    <w:rsid w:val="00A7521E"/>
    <w:rsid w:val="00AD1F3F"/>
    <w:rsid w:val="00B25A5C"/>
    <w:rsid w:val="00BB085E"/>
    <w:rsid w:val="00C0054F"/>
    <w:rsid w:val="00C260B0"/>
    <w:rsid w:val="00C612FD"/>
    <w:rsid w:val="00D65D2F"/>
    <w:rsid w:val="00E73827"/>
    <w:rsid w:val="00EB47F6"/>
    <w:rsid w:val="00EC25F3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4EAFD-70FD-482B-ACC5-FE6E5958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6D"/>
    <w:pPr>
      <w:widowControl w:val="0"/>
      <w:suppressAutoHyphens/>
      <w:autoSpaceDE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612FD"/>
    <w:pPr>
      <w:tabs>
        <w:tab w:val="num" w:pos="0"/>
      </w:tabs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60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D606D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Normal">
    <w:name w:val="ConsPlusNormal"/>
    <w:rsid w:val="001D606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D60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612FD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C612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12FD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8F066-6325-460F-83E5-EBFEB842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Dimaciq</cp:lastModifiedBy>
  <cp:revision>2</cp:revision>
  <cp:lastPrinted>2016-08-31T09:13:00Z</cp:lastPrinted>
  <dcterms:created xsi:type="dcterms:W3CDTF">2017-10-03T12:01:00Z</dcterms:created>
  <dcterms:modified xsi:type="dcterms:W3CDTF">2017-10-03T12:01:00Z</dcterms:modified>
</cp:coreProperties>
</file>