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34DC6">
        <w:trPr>
          <w:trHeight w:val="14618"/>
        </w:trPr>
        <w:tc>
          <w:tcPr>
            <w:tcW w:w="9781" w:type="dxa"/>
          </w:tcPr>
          <w:p w:rsidR="003060CB" w:rsidRPr="00956812" w:rsidRDefault="003060CB" w:rsidP="003060CB">
            <w:pPr>
              <w:pStyle w:val="1"/>
              <w:suppressAutoHyphens/>
              <w:spacing w:before="0"/>
              <w:rPr>
                <w:b w:val="0"/>
                <w:bCs w:val="0"/>
                <w:spacing w:val="0"/>
                <w:szCs w:val="28"/>
                <w:lang w:val="ru-RU"/>
              </w:rPr>
            </w:pP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t>ЗАКЛЮЧЕНИЕ</w:t>
            </w: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3060CB" w:rsidRPr="00956812" w:rsidRDefault="003060CB" w:rsidP="00D079A2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Pr="00956812">
              <w:rPr>
                <w:color w:val="000000"/>
                <w:lang w:val="ru-RU"/>
              </w:rPr>
              <w:t>«</w:t>
            </w:r>
            <w:r w:rsidR="00D079A2" w:rsidRPr="00956812">
              <w:rPr>
                <w:color w:val="000000"/>
                <w:lang w:val="ru-RU"/>
              </w:rPr>
      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тарифам»</w:t>
            </w:r>
          </w:p>
          <w:p w:rsidR="003060CB" w:rsidRPr="00956812" w:rsidRDefault="003060CB" w:rsidP="003060C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proofErr w:type="gramStart"/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D079A2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="00D079A2">
              <w:rPr>
                <w:color w:val="000000"/>
                <w:lang w:val="ru-RU"/>
              </w:rPr>
              <w:t xml:space="preserve">марта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Pr="00956812">
              <w:rPr>
                <w:color w:val="000000"/>
                <w:lang w:val="ru-RU"/>
              </w:rPr>
              <w:t>«</w:t>
            </w:r>
            <w:r w:rsidR="00D079A2" w:rsidRPr="00956812">
              <w:rPr>
                <w:color w:val="000000"/>
                <w:lang w:val="ru-RU"/>
              </w:rPr>
      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Pr="00956812">
              <w:rPr>
                <w:color w:val="000000"/>
                <w:lang w:val="ru-RU"/>
              </w:rPr>
              <w:t xml:space="preserve">»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</w:t>
            </w:r>
            <w:proofErr w:type="gramEnd"/>
            <w:r w:rsidRPr="00881585">
              <w:rPr>
                <w:color w:val="000000"/>
                <w:lang w:val="ru-RU"/>
              </w:rPr>
              <w:t>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D079A2">
              <w:rPr>
                <w:color w:val="000000"/>
                <w:lang w:val="ru-RU"/>
              </w:rPr>
              <w:t>отделом транспорта и связи</w:t>
            </w:r>
            <w:r>
              <w:rPr>
                <w:color w:val="000000"/>
                <w:lang w:val="ru-RU"/>
              </w:rPr>
              <w:t xml:space="preserve"> 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1.3.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079A2"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079A2"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Требований к юридическим лицам, индивидуальным предпринимателям, </w:t>
            </w:r>
            <w:r w:rsidR="00D079A2" w:rsidRPr="00D079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участникам договора простого товарищества, осуществляющим регулярные перевозки по нерегулируемым тарифам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варианта правового регулирования сделан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та, и установлено следующее: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регулирующим органом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сформулирована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3060CB" w:rsidRPr="00AC6171" w:rsidRDefault="003060CB" w:rsidP="0030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D079A2" w:rsidRPr="00956812">
              <w:rPr>
                <w:color w:val="000000"/>
                <w:sz w:val="28"/>
                <w:szCs w:val="28"/>
              </w:rPr>
              <w:t>юридические лица</w:t>
            </w:r>
            <w:r w:rsidRPr="00956812">
              <w:rPr>
                <w:color w:val="000000"/>
                <w:sz w:val="28"/>
                <w:szCs w:val="28"/>
              </w:rPr>
              <w:t>, индивидуальные предприниматели</w:t>
            </w:r>
            <w:r w:rsidR="00D079A2" w:rsidRPr="00956812">
              <w:rPr>
                <w:color w:val="000000"/>
                <w:sz w:val="28"/>
                <w:szCs w:val="28"/>
              </w:rPr>
              <w:t>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</w:t>
            </w:r>
            <w:r w:rsidR="00150A3A" w:rsidRPr="00956812">
              <w:rPr>
                <w:color w:val="000000"/>
                <w:sz w:val="28"/>
                <w:szCs w:val="28"/>
              </w:rPr>
              <w:t>м</w:t>
            </w:r>
            <w:r w:rsidR="00D079A2" w:rsidRPr="00956812">
              <w:rPr>
                <w:color w:val="000000"/>
                <w:sz w:val="28"/>
                <w:szCs w:val="28"/>
              </w:rPr>
              <w:t xml:space="preserve"> в Реестр муниципальных маршрутов регулярных перевозок на территории муниципального образования Ейский район</w:t>
            </w:r>
            <w:r w:rsidRPr="00AC6171">
              <w:rPr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адресатов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правового регулирования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150A3A">
              <w:rPr>
                <w:rFonts w:ascii="Times New Roman" w:hAnsi="Times New Roman"/>
                <w:color w:val="000000"/>
                <w:sz w:val="28"/>
                <w:szCs w:val="28"/>
              </w:rPr>
              <w:t>неограниченное количество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аемого правового регулирования не предполагаются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 риски введения предлагаемого правового регулирования отсутствуют.</w:t>
            </w:r>
          </w:p>
          <w:p w:rsidR="003060CB" w:rsidRPr="00956812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lastRenderedPageBreak/>
              <w:t xml:space="preserve">В соответствии с Порядком установлено следующее: </w:t>
            </w:r>
          </w:p>
          <w:p w:rsidR="003060CB" w:rsidRPr="0026594F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956812" w:rsidRPr="0026594F">
              <w:rPr>
                <w:color w:val="000000"/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</w:t>
            </w:r>
            <w:r w:rsidRPr="0026594F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– </w:t>
            </w:r>
            <w:r w:rsidR="00956812">
              <w:rPr>
                <w:color w:val="000000"/>
                <w:sz w:val="28"/>
                <w:szCs w:val="28"/>
              </w:rPr>
              <w:t>неограниченное количество</w:t>
            </w:r>
            <w:r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3060CB" w:rsidRPr="00956812" w:rsidRDefault="0026594F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956812" w:rsidRPr="00956812">
              <w:rPr>
                <w:color w:val="000000"/>
                <w:sz w:val="28"/>
                <w:szCs w:val="28"/>
              </w:rPr>
              <w:t>тсутствие муниципального нормативного правого акта, устанавливающего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может привести к несоблюдению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</w:t>
            </w:r>
            <w:proofErr w:type="gramEnd"/>
            <w:r w:rsidR="00956812" w:rsidRPr="0095681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56812" w:rsidRPr="00956812">
              <w:rPr>
                <w:color w:val="000000"/>
                <w:sz w:val="28"/>
                <w:szCs w:val="28"/>
              </w:rPr>
              <w:t>муниципального образования Ейский район</w:t>
            </w:r>
            <w:r w:rsidR="00956812">
              <w:rPr>
                <w:color w:val="000000"/>
                <w:sz w:val="28"/>
                <w:szCs w:val="28"/>
              </w:rPr>
              <w:t>,</w:t>
            </w:r>
            <w:r w:rsidR="00956812" w:rsidRPr="00956812">
              <w:rPr>
                <w:color w:val="000000"/>
                <w:sz w:val="28"/>
                <w:szCs w:val="28"/>
              </w:rPr>
              <w:t xml:space="preserve">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</w:t>
            </w:r>
            <w:proofErr w:type="gramEnd"/>
            <w:r w:rsidR="00956812" w:rsidRPr="0095681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56812" w:rsidRPr="00956812">
              <w:rPr>
                <w:color w:val="000000"/>
                <w:sz w:val="28"/>
                <w:szCs w:val="28"/>
              </w:rPr>
              <w:t>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</w:t>
            </w:r>
            <w:proofErr w:type="gramEnd"/>
            <w:r w:rsidR="00956812" w:rsidRPr="00956812">
              <w:rPr>
                <w:color w:val="000000"/>
                <w:sz w:val="28"/>
                <w:szCs w:val="28"/>
              </w:rPr>
              <w:t xml:space="preserve">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</w:t>
            </w:r>
            <w:r w:rsidR="003060CB"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и заключается в установление требовани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юридическим лицам, индивидуальным предпринимателям, 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участникам договора простого товарищества, осуществляющим регулярные перевозки по нерегулируемым тарифам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060CB" w:rsidRPr="00956812" w:rsidRDefault="003060CB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956812">
              <w:rPr>
                <w:color w:val="000000"/>
                <w:sz w:val="28"/>
                <w:szCs w:val="28"/>
              </w:rPr>
              <w:t>Проектом предусмотрены положения, которыми изменяется содержание прав и обязанностей потенциальных адресатов правового регулирования (</w:t>
            </w:r>
            <w:r w:rsidR="00731264" w:rsidRPr="00956812">
              <w:rPr>
                <w:color w:val="000000"/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</w:t>
            </w:r>
            <w:r w:rsidRPr="00956812">
              <w:rPr>
                <w:color w:val="000000"/>
                <w:sz w:val="28"/>
                <w:szCs w:val="28"/>
              </w:rPr>
              <w:t xml:space="preserve">) в соответствии </w:t>
            </w:r>
            <w:r w:rsidR="00731264">
              <w:rPr>
                <w:color w:val="000000"/>
                <w:sz w:val="28"/>
                <w:szCs w:val="28"/>
              </w:rPr>
              <w:t>с раздело</w:t>
            </w:r>
            <w:r w:rsidRPr="00956812">
              <w:rPr>
                <w:color w:val="000000"/>
                <w:sz w:val="28"/>
                <w:szCs w:val="28"/>
              </w:rPr>
              <w:t>м 2 Порядка.</w:t>
            </w:r>
            <w:proofErr w:type="gramEnd"/>
          </w:p>
          <w:p w:rsidR="003060CB" w:rsidRPr="00956812" w:rsidRDefault="003060CB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956812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956812">
              <w:rPr>
                <w:sz w:val="28"/>
                <w:szCs w:val="28"/>
              </w:rPr>
              <w:t>с раздел</w:t>
            </w:r>
            <w:r w:rsidR="00731264">
              <w:rPr>
                <w:sz w:val="28"/>
                <w:szCs w:val="28"/>
              </w:rPr>
              <w:t>о</w:t>
            </w:r>
            <w:r w:rsidRPr="00956812">
              <w:rPr>
                <w:sz w:val="28"/>
                <w:szCs w:val="28"/>
              </w:rPr>
              <w:t xml:space="preserve">м </w:t>
            </w:r>
            <w:r w:rsidR="00731264">
              <w:rPr>
                <w:sz w:val="28"/>
                <w:szCs w:val="28"/>
              </w:rPr>
              <w:t>2 Порядка</w:t>
            </w:r>
            <w:r w:rsidRPr="00956812">
              <w:rPr>
                <w:sz w:val="28"/>
                <w:szCs w:val="28"/>
              </w:rPr>
              <w:t>.</w:t>
            </w:r>
          </w:p>
          <w:p w:rsidR="003060CB" w:rsidRPr="006C65D6" w:rsidRDefault="003060CB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C65D6">
              <w:rPr>
                <w:sz w:val="28"/>
                <w:szCs w:val="28"/>
              </w:rPr>
      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           </w:t>
            </w:r>
          </w:p>
          <w:p w:rsidR="003060CB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C1D6D">
              <w:rPr>
                <w:sz w:val="28"/>
                <w:szCs w:val="28"/>
              </w:rPr>
              <w:t xml:space="preserve">Расходы потенциальных адресатов предлагаемого правового регулирования относятся к </w:t>
            </w:r>
            <w:r w:rsidR="0026594F">
              <w:rPr>
                <w:sz w:val="28"/>
                <w:szCs w:val="28"/>
              </w:rPr>
              <w:t>содержательным</w:t>
            </w:r>
            <w:r w:rsidRPr="000C1D6D">
              <w:rPr>
                <w:sz w:val="28"/>
                <w:szCs w:val="28"/>
              </w:rPr>
              <w:t xml:space="preserve"> издержкам (</w:t>
            </w:r>
            <w:r w:rsidR="00D46417">
              <w:rPr>
                <w:sz w:val="28"/>
                <w:szCs w:val="28"/>
              </w:rPr>
              <w:t>соблюдение требований, применяемых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в соответствии с разделом 2 Проекта)</w:t>
            </w:r>
            <w:r w:rsidR="00115EE1">
              <w:rPr>
                <w:sz w:val="28"/>
                <w:szCs w:val="28"/>
              </w:rPr>
              <w:t>, а также информационным издержкам  в соответствии с п. 2.2.17 и п. 2.2.18 Проекта</w:t>
            </w:r>
            <w:r w:rsidR="00D46417">
              <w:rPr>
                <w:sz w:val="28"/>
                <w:szCs w:val="28"/>
              </w:rPr>
              <w:t>.</w:t>
            </w:r>
          </w:p>
          <w:p w:rsidR="00D46417" w:rsidRPr="000C1D6D" w:rsidRDefault="00D46417" w:rsidP="00D46417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2A037D">
              <w:rPr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      </w:r>
            <w:r w:rsidRPr="002A037D">
              <w:rPr>
                <w:sz w:val="28"/>
                <w:szCs w:val="28"/>
              </w:rPr>
              <w:t>е</w:t>
            </w:r>
            <w:r w:rsidRPr="002A037D">
              <w:rPr>
                <w:sz w:val="28"/>
                <w:szCs w:val="28"/>
              </w:rPr>
              <w:t>дерации от 22 сентября 2015 года № 669.</w:t>
            </w:r>
          </w:p>
          <w:p w:rsidR="00D46417" w:rsidRDefault="00D46417" w:rsidP="00D4641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Расчет предполагаемой суммы содержательных издержек не представл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ется возможным по причине отсутствия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E51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 xml:space="preserve"> о перево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чиках</w:t>
            </w:r>
            <w:r w:rsidR="00B57E51">
              <w:rPr>
                <w:rFonts w:ascii="Times New Roman" w:hAnsi="Times New Roman" w:cs="Times New Roman"/>
                <w:sz w:val="28"/>
                <w:szCs w:val="28"/>
              </w:rPr>
              <w:t xml:space="preserve"> ввиду их неограниченного количества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EE1">
              <w:rPr>
                <w:rFonts w:ascii="Times New Roman" w:hAnsi="Times New Roman" w:cs="Times New Roman"/>
                <w:sz w:val="28"/>
                <w:szCs w:val="28"/>
              </w:rPr>
              <w:t xml:space="preserve"> и заявительного характера 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E5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средств, котор</w:t>
            </w:r>
            <w:r w:rsidR="00B57E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е необходимо оснастить оборудованием, приб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 xml:space="preserve">рами для осуществления регулярных перевозок; 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требований и пре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писаний уполномоченных и контролирующих органов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, устранение перевозч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 xml:space="preserve">ками которых </w:t>
            </w:r>
            <w:r w:rsidR="002B0B34">
              <w:rPr>
                <w:rFonts w:ascii="Times New Roman" w:hAnsi="Times New Roman" w:cs="Times New Roman"/>
                <w:sz w:val="28"/>
                <w:szCs w:val="28"/>
              </w:rPr>
              <w:t>связано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 xml:space="preserve"> с финансовыми затрат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57E5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15EE1" w:rsidRPr="002A037D" w:rsidRDefault="00115EE1" w:rsidP="00D4641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предполагаемой 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издержек не представл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037D">
              <w:rPr>
                <w:rFonts w:ascii="Times New Roman" w:hAnsi="Times New Roman" w:cs="Times New Roman"/>
                <w:sz w:val="28"/>
                <w:szCs w:val="28"/>
              </w:rPr>
              <w:t xml:space="preserve">ется возможным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ввиду </w:t>
            </w:r>
            <w:r w:rsidR="003D4A8F">
              <w:rPr>
                <w:rFonts w:ascii="Times New Roman" w:hAnsi="Times New Roman" w:cs="Times New Roman"/>
                <w:sz w:val="28"/>
                <w:szCs w:val="28"/>
              </w:rPr>
              <w:t>отсутствия частоты выполнения информационных тр</w:t>
            </w:r>
            <w:r w:rsidR="003D4A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4A8F">
              <w:rPr>
                <w:rFonts w:ascii="Times New Roman" w:hAnsi="Times New Roman" w:cs="Times New Roman"/>
                <w:sz w:val="28"/>
                <w:szCs w:val="28"/>
              </w:rPr>
              <w:t>бований и</w:t>
            </w:r>
            <w:r w:rsidR="00BB6BC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определения</w:t>
            </w:r>
            <w:r w:rsidR="003D4A8F">
              <w:rPr>
                <w:rFonts w:ascii="Times New Roman" w:hAnsi="Times New Roman" w:cs="Times New Roman"/>
                <w:sz w:val="28"/>
                <w:szCs w:val="28"/>
              </w:rPr>
              <w:t xml:space="preserve"> затрат рабочего времени.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Расходы бюджета муниципального образования Ейский район, понес</w:t>
            </w:r>
            <w:r w:rsidR="00D46417">
              <w:rPr>
                <w:sz w:val="28"/>
                <w:szCs w:val="28"/>
              </w:rPr>
              <w:t>е</w:t>
            </w:r>
            <w:r w:rsidRPr="000C1D6D">
              <w:rPr>
                <w:sz w:val="28"/>
                <w:szCs w:val="28"/>
              </w:rPr>
              <w:t>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3060CB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lastRenderedPageBreak/>
              <w:t xml:space="preserve">7. В соответствии с Порядком уполномоченный орган провел    публичные консультации по проекту в период с </w:t>
            </w:r>
            <w:r w:rsidR="00731264">
              <w:rPr>
                <w:color w:val="000000"/>
                <w:sz w:val="28"/>
                <w:szCs w:val="28"/>
              </w:rPr>
              <w:t>13.03.2019</w:t>
            </w:r>
            <w:r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731264">
              <w:rPr>
                <w:color w:val="000000"/>
                <w:sz w:val="28"/>
                <w:szCs w:val="28"/>
              </w:rPr>
              <w:t>21.03.2019</w:t>
            </w:r>
            <w:r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>8. 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Pr="00956812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>роект был направлен на рассмотрение в адрес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 xml:space="preserve">Общественного представителя </w:t>
            </w:r>
            <w:proofErr w:type="gramStart"/>
            <w:r w:rsidRPr="0095681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5681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6812">
              <w:rPr>
                <w:color w:val="000000"/>
                <w:sz w:val="28"/>
                <w:szCs w:val="28"/>
              </w:rPr>
              <w:t>Ейском</w:t>
            </w:r>
            <w:proofErr w:type="gramEnd"/>
            <w:r w:rsidRPr="00956812">
              <w:rPr>
                <w:color w:val="000000"/>
                <w:sz w:val="28"/>
                <w:szCs w:val="28"/>
              </w:rPr>
              <w:t xml:space="preserve">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>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E736D3">
              <w:rPr>
                <w:color w:val="000000"/>
                <w:sz w:val="28"/>
                <w:szCs w:val="28"/>
              </w:rPr>
              <w:t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Союза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 xml:space="preserve"> не поступило. </w:t>
            </w:r>
            <w:proofErr w:type="gramEnd"/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125CF6">
              <w:rPr>
                <w:color w:val="000000"/>
                <w:sz w:val="28"/>
                <w:szCs w:val="28"/>
              </w:rPr>
              <w:t xml:space="preserve">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</w:t>
            </w:r>
            <w:proofErr w:type="gramEnd"/>
            <w:r w:rsidRPr="00125CF6"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Н.А. </w:t>
            </w:r>
            <w:proofErr w:type="spell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Зубченко</w:t>
            </w:r>
            <w:proofErr w:type="spellEnd"/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790B6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731264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3D4A8F" w:rsidRDefault="003060CB" w:rsidP="003060CB">
            <w:pPr>
              <w:suppressAutoHyphens/>
              <w:rPr>
                <w:color w:val="000000"/>
              </w:rPr>
            </w:pPr>
            <w:proofErr w:type="spellStart"/>
            <w:r w:rsidRPr="003D4A8F">
              <w:rPr>
                <w:color w:val="000000"/>
              </w:rPr>
              <w:t>Т.О.Шушанова</w:t>
            </w:r>
            <w:proofErr w:type="spellEnd"/>
          </w:p>
          <w:p w:rsidR="00E2136F" w:rsidRPr="00956812" w:rsidRDefault="003060CB" w:rsidP="004B05C4">
            <w:pPr>
              <w:rPr>
                <w:color w:val="000000"/>
                <w:sz w:val="28"/>
                <w:szCs w:val="28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3D4A8F"/>
    <w:sectPr w:rsidR="00A970EC" w:rsidRPr="009B3E0C" w:rsidSect="004B3F77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4A" w:rsidRDefault="0070624A">
      <w:r>
        <w:separator/>
      </w:r>
    </w:p>
  </w:endnote>
  <w:endnote w:type="continuationSeparator" w:id="0">
    <w:p w:rsidR="0070624A" w:rsidRDefault="0070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4A" w:rsidRDefault="0070624A">
      <w:r>
        <w:separator/>
      </w:r>
    </w:p>
  </w:footnote>
  <w:footnote w:type="continuationSeparator" w:id="0">
    <w:p w:rsidR="0070624A" w:rsidRDefault="0070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4D2EBC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4D2EBC">
    <w:pPr>
      <w:pStyle w:val="a7"/>
      <w:jc w:val="center"/>
    </w:pPr>
    <w:fldSimple w:instr=" PAGE   \* MERGEFORMAT ">
      <w:r w:rsidR="00BB6BC7">
        <w:rPr>
          <w:noProof/>
        </w:rPr>
        <w:t>2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287C"/>
    <w:rsid w:val="00142A00"/>
    <w:rsid w:val="00144019"/>
    <w:rsid w:val="00145147"/>
    <w:rsid w:val="00145651"/>
    <w:rsid w:val="00150A3A"/>
    <w:rsid w:val="00152DA6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41F"/>
    <w:rsid w:val="001A5B1B"/>
    <w:rsid w:val="001A7843"/>
    <w:rsid w:val="001A7E9A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860D7-FEB3-4957-9355-737FA75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172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12683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8</cp:revision>
  <cp:lastPrinted>2019-04-03T08:18:00Z</cp:lastPrinted>
  <dcterms:created xsi:type="dcterms:W3CDTF">2018-11-08T12:37:00Z</dcterms:created>
  <dcterms:modified xsi:type="dcterms:W3CDTF">2019-04-03T08:19:00Z</dcterms:modified>
</cp:coreProperties>
</file>