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F4" w:rsidRDefault="002C7FF4" w:rsidP="002C7FF4">
      <w:pPr>
        <w:shd w:val="clear" w:color="auto" w:fill="FFFFFF"/>
        <w:spacing w:before="100" w:beforeAutospacing="1" w:after="10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 января 2</w:t>
      </w:r>
      <w:r w:rsidR="004B1D9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B1D9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Краснодарском крае </w:t>
      </w:r>
      <w:r w:rsidR="00BB4784" w:rsidRPr="00BB478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реализованы проекты по предоставлению налоговых преференций для предприятий-участников национального проекта</w:t>
      </w:r>
      <w:r w:rsidR="00D45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роизводительность труда и поддержка занятости»</w:t>
      </w:r>
      <w:r w:rsidR="00BB4784" w:rsidRPr="00BB47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4784" w:rsidRPr="00BB4784" w:rsidRDefault="00BB4784" w:rsidP="002C7FF4">
      <w:pPr>
        <w:shd w:val="clear" w:color="auto" w:fill="FFFFFF"/>
        <w:spacing w:before="100" w:beforeAutospacing="1" w:after="10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78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Предприятиям-участникам национального проекта предоставля</w:t>
      </w:r>
      <w:r w:rsidR="004B1D93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BB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инвестиционный налоговый вычет в отношении расходов на осуществление инвестиций в основные средства, в размере и на условиях, предусмотренных </w:t>
      </w:r>
      <w:r w:rsidR="004B1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BB4784">
        <w:rPr>
          <w:rFonts w:ascii="Times New Roman" w:eastAsia="Times New Roman" w:hAnsi="Times New Roman" w:cs="Times New Roman"/>
          <w:color w:val="000000"/>
          <w:sz w:val="28"/>
          <w:szCs w:val="28"/>
        </w:rPr>
        <w:t>ст. 286.1 Налогового Кодекса Российской Федерации:</w:t>
      </w:r>
    </w:p>
    <w:p w:rsidR="00BB4784" w:rsidRPr="00BB4784" w:rsidRDefault="00BB4784" w:rsidP="00BB47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78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инвестиционного налогового вычета будет составлять 90% расходов на инвестиции в основные средства;</w:t>
      </w:r>
    </w:p>
    <w:p w:rsidR="00BB4784" w:rsidRPr="00BB4784" w:rsidRDefault="00BB4784" w:rsidP="00BB47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78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ставки налога на прибыль в бюджет субъекта Российской Федерации для определения предельной величины инвестиционного налогового вычета составит 10%.</w:t>
      </w:r>
    </w:p>
    <w:p w:rsidR="00BB4784" w:rsidRDefault="00BB4784" w:rsidP="00BB4784">
      <w:pPr>
        <w:shd w:val="clear" w:color="auto" w:fill="FFFFFF"/>
        <w:spacing w:before="100" w:beforeAutospacing="1" w:after="100" w:afterAutospacing="1" w:line="30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r w:rsidR="004B1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предоставляется </w:t>
      </w:r>
      <w:r w:rsidRPr="00BB478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ст. 380 Налогового Кодекса Российской Федерации «Налоговая ставка» главы 30 «Налог на имущество организаций» в части установления налоговой ставки «ноль» по налогу на имущество организаций в отношении вновь вводимых объектов недвижимого имущества с 1 января 2020 года. Действие пониженной ставки распростран</w:t>
      </w:r>
      <w:r w:rsidR="00842138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BB4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31.12.2024.</w:t>
      </w:r>
    </w:p>
    <w:p w:rsidR="00211754" w:rsidRDefault="00211754"/>
    <w:sectPr w:rsidR="00211754" w:rsidSect="0083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16F1"/>
    <w:multiLevelType w:val="multilevel"/>
    <w:tmpl w:val="11D2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784"/>
    <w:rsid w:val="00211754"/>
    <w:rsid w:val="002C7FF4"/>
    <w:rsid w:val="004B1D93"/>
    <w:rsid w:val="00832CC6"/>
    <w:rsid w:val="00842138"/>
    <w:rsid w:val="009E2E71"/>
    <w:rsid w:val="00BB4784"/>
    <w:rsid w:val="00D4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u11_10</dc:creator>
  <cp:keywords/>
  <dc:description/>
  <cp:lastModifiedBy>u11_10</cp:lastModifiedBy>
  <cp:revision>7</cp:revision>
  <cp:lastPrinted>2021-01-15T06:29:00Z</cp:lastPrinted>
  <dcterms:created xsi:type="dcterms:W3CDTF">2021-01-15T06:03:00Z</dcterms:created>
  <dcterms:modified xsi:type="dcterms:W3CDTF">2021-01-15T06:33:00Z</dcterms:modified>
</cp:coreProperties>
</file>